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5.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A6A" w:rsidRDefault="00F71A6A" w:rsidP="009B0194">
      <w:pPr>
        <w:jc w:val="center"/>
      </w:pPr>
    </w:p>
    <w:p w:rsidR="00591B3F" w:rsidRDefault="00591B3F" w:rsidP="009B0194">
      <w:pPr>
        <w:jc w:val="center"/>
      </w:pPr>
    </w:p>
    <w:p w:rsidR="00591B3F" w:rsidRPr="00F5442A" w:rsidRDefault="00591B3F" w:rsidP="009B0194">
      <w:pPr>
        <w:jc w:val="center"/>
      </w:pPr>
    </w:p>
    <w:p w:rsidR="00F71A6A" w:rsidRPr="00F5442A" w:rsidRDefault="00634F53" w:rsidP="009B0194">
      <w:pPr>
        <w:jc w:val="center"/>
      </w:pPr>
      <w:r w:rsidRPr="00F5442A">
        <w:t>SECOND SECTION</w:t>
      </w:r>
    </w:p>
    <w:p w:rsidR="00591B3F" w:rsidRPr="009B0194" w:rsidRDefault="00591B3F" w:rsidP="009B0194">
      <w:pPr>
        <w:jc w:val="center"/>
      </w:pPr>
      <w:bookmarkStart w:id="0" w:name="To"/>
    </w:p>
    <w:p w:rsidR="00591B3F" w:rsidRPr="009B0194" w:rsidRDefault="00591B3F" w:rsidP="009B0194">
      <w:pPr>
        <w:jc w:val="center"/>
      </w:pPr>
    </w:p>
    <w:p w:rsidR="00591B3F" w:rsidRPr="009B0194" w:rsidRDefault="00591B3F" w:rsidP="009B0194">
      <w:pPr>
        <w:jc w:val="center"/>
      </w:pPr>
    </w:p>
    <w:p w:rsidR="00591B3F" w:rsidRPr="009B0194" w:rsidRDefault="00591B3F" w:rsidP="009B0194">
      <w:pPr>
        <w:jc w:val="center"/>
      </w:pPr>
    </w:p>
    <w:p w:rsidR="00591B3F" w:rsidRPr="009B0194" w:rsidRDefault="00591B3F" w:rsidP="009B0194">
      <w:pPr>
        <w:jc w:val="center"/>
      </w:pPr>
    </w:p>
    <w:p w:rsidR="00F71A6A" w:rsidRPr="00F5442A" w:rsidRDefault="00F71A6A" w:rsidP="009B0194">
      <w:pPr>
        <w:jc w:val="center"/>
        <w:rPr>
          <w:b/>
        </w:rPr>
      </w:pPr>
      <w:r w:rsidRPr="00F5442A">
        <w:rPr>
          <w:b/>
        </w:rPr>
        <w:t xml:space="preserve">CASE OF </w:t>
      </w:r>
      <w:bookmarkEnd w:id="0"/>
      <w:r w:rsidR="00634F53" w:rsidRPr="00F5442A">
        <w:rPr>
          <w:b/>
        </w:rPr>
        <w:t>AZIENDA AGRICOLA SILVERFUNGHI S.A.S.</w:t>
      </w:r>
      <w:r w:rsidR="00F5442A" w:rsidRPr="00F5442A">
        <w:rPr>
          <w:b/>
        </w:rPr>
        <w:t xml:space="preserve"> AND OTHERS</w:t>
      </w:r>
      <w:r w:rsidR="00634F53" w:rsidRPr="00F5442A">
        <w:rPr>
          <w:b/>
        </w:rPr>
        <w:t xml:space="preserve"> v. ITALY</w:t>
      </w:r>
    </w:p>
    <w:p w:rsidR="00F71A6A" w:rsidRPr="00F5442A" w:rsidRDefault="00F71A6A" w:rsidP="009B0194">
      <w:pPr>
        <w:jc w:val="center"/>
      </w:pPr>
    </w:p>
    <w:p w:rsidR="00F71A6A" w:rsidRPr="004F1F3F" w:rsidRDefault="00F71A6A" w:rsidP="009B0194">
      <w:pPr>
        <w:jc w:val="center"/>
        <w:rPr>
          <w:i/>
        </w:rPr>
      </w:pPr>
      <w:r w:rsidRPr="00B46173">
        <w:rPr>
          <w:i/>
        </w:rPr>
        <w:t>(</w:t>
      </w:r>
      <w:r w:rsidR="00634F53" w:rsidRPr="00B46173">
        <w:rPr>
          <w:i/>
          <w:noProof/>
        </w:rPr>
        <w:t xml:space="preserve">Applications nos. </w:t>
      </w:r>
      <w:r w:rsidR="00634F53">
        <w:rPr>
          <w:i/>
          <w:noProof/>
        </w:rPr>
        <w:t>48357/07</w:t>
      </w:r>
      <w:r w:rsidR="00F5442A">
        <w:rPr>
          <w:i/>
          <w:noProof/>
        </w:rPr>
        <w:t>,</w:t>
      </w:r>
      <w:r w:rsidR="00634F53" w:rsidRPr="00B46173">
        <w:rPr>
          <w:i/>
          <w:noProof/>
        </w:rPr>
        <w:t xml:space="preserve"> </w:t>
      </w:r>
      <w:r w:rsidR="002A1B82">
        <w:rPr>
          <w:i/>
          <w:noProof/>
        </w:rPr>
        <w:t>52677/</w:t>
      </w:r>
      <w:r w:rsidR="00F5442A" w:rsidRPr="00F5442A">
        <w:rPr>
          <w:i/>
          <w:noProof/>
        </w:rPr>
        <w:t>07, 52687/07 and 52701/07)</w:t>
      </w:r>
    </w:p>
    <w:p w:rsidR="00F71A6A" w:rsidRPr="00B46173" w:rsidRDefault="00F71A6A" w:rsidP="009B0194">
      <w:pPr>
        <w:jc w:val="center"/>
      </w:pPr>
    </w:p>
    <w:p w:rsidR="00BD402D" w:rsidRDefault="00BD402D" w:rsidP="009B0194">
      <w:pPr>
        <w:jc w:val="center"/>
        <w:rPr>
          <w:noProof/>
          <w:szCs w:val="24"/>
        </w:rPr>
      </w:pPr>
    </w:p>
    <w:p w:rsidR="00BD402D" w:rsidRDefault="00BD402D" w:rsidP="009B0194">
      <w:pPr>
        <w:jc w:val="center"/>
        <w:rPr>
          <w:noProof/>
          <w:szCs w:val="24"/>
        </w:rPr>
      </w:pPr>
    </w:p>
    <w:p w:rsidR="00BD402D" w:rsidRDefault="00BD402D" w:rsidP="009B0194">
      <w:pPr>
        <w:jc w:val="center"/>
        <w:rPr>
          <w:noProof/>
          <w:szCs w:val="24"/>
        </w:rPr>
      </w:pPr>
    </w:p>
    <w:p w:rsidR="00BD402D" w:rsidRDefault="00BD402D" w:rsidP="009B0194">
      <w:pPr>
        <w:jc w:val="center"/>
        <w:rPr>
          <w:noProof/>
          <w:szCs w:val="24"/>
        </w:rPr>
      </w:pPr>
    </w:p>
    <w:p w:rsidR="00BD402D" w:rsidRDefault="00BD402D" w:rsidP="009B0194">
      <w:pPr>
        <w:jc w:val="center"/>
        <w:rPr>
          <w:noProof/>
          <w:szCs w:val="24"/>
        </w:rPr>
      </w:pPr>
    </w:p>
    <w:p w:rsidR="00BD402D" w:rsidRDefault="00BD402D" w:rsidP="009B0194">
      <w:pPr>
        <w:jc w:val="center"/>
        <w:rPr>
          <w:noProof/>
          <w:szCs w:val="24"/>
        </w:rPr>
      </w:pPr>
    </w:p>
    <w:p w:rsidR="00271A81" w:rsidRPr="00591B3F" w:rsidRDefault="00591B3F" w:rsidP="009B0194">
      <w:pPr>
        <w:jc w:val="center"/>
        <w:rPr>
          <w:noProof/>
          <w:szCs w:val="24"/>
        </w:rPr>
      </w:pPr>
      <w:r>
        <w:rPr>
          <w:noProof/>
          <w:szCs w:val="24"/>
        </w:rPr>
        <w:t>JUDGMENT</w:t>
      </w:r>
    </w:p>
    <w:p w:rsidR="008A6FE0" w:rsidRPr="00433CB6" w:rsidRDefault="008A6FE0" w:rsidP="009B0194">
      <w:pPr>
        <w:jc w:val="center"/>
        <w:rPr>
          <w:szCs w:val="24"/>
        </w:rPr>
      </w:pPr>
    </w:p>
    <w:p w:rsidR="008A6FE0" w:rsidRPr="0067644F" w:rsidRDefault="008A6FE0" w:rsidP="009B0194">
      <w:pPr>
        <w:jc w:val="center"/>
        <w:rPr>
          <w:b/>
          <w:szCs w:val="24"/>
        </w:rPr>
      </w:pPr>
    </w:p>
    <w:p w:rsidR="00591B3F" w:rsidRDefault="00591B3F" w:rsidP="009B0194">
      <w:pPr>
        <w:pStyle w:val="JuCase"/>
        <w:ind w:firstLine="0"/>
        <w:jc w:val="center"/>
        <w:rPr>
          <w:b w:val="0"/>
        </w:rPr>
      </w:pPr>
    </w:p>
    <w:p w:rsidR="00591B3F" w:rsidRDefault="00591B3F" w:rsidP="009B0194">
      <w:pPr>
        <w:pStyle w:val="JuCase"/>
        <w:ind w:firstLine="0"/>
        <w:jc w:val="center"/>
        <w:rPr>
          <w:b w:val="0"/>
        </w:rPr>
      </w:pPr>
    </w:p>
    <w:p w:rsidR="00591B3F" w:rsidRDefault="00591B3F" w:rsidP="009B0194">
      <w:pPr>
        <w:pStyle w:val="JuCase"/>
        <w:ind w:firstLine="0"/>
        <w:jc w:val="center"/>
        <w:rPr>
          <w:b w:val="0"/>
        </w:rPr>
      </w:pPr>
      <w:r>
        <w:rPr>
          <w:b w:val="0"/>
        </w:rPr>
        <w:t>STRASBOURG</w:t>
      </w:r>
    </w:p>
    <w:p w:rsidR="00591B3F" w:rsidRDefault="00591B3F" w:rsidP="009B0194">
      <w:pPr>
        <w:pStyle w:val="JuCase"/>
        <w:ind w:firstLine="0"/>
        <w:jc w:val="center"/>
        <w:rPr>
          <w:b w:val="0"/>
        </w:rPr>
      </w:pPr>
    </w:p>
    <w:p w:rsidR="00591B3F" w:rsidRDefault="00591B3F" w:rsidP="009B0194">
      <w:pPr>
        <w:pStyle w:val="JuCase"/>
        <w:ind w:firstLine="0"/>
        <w:jc w:val="center"/>
        <w:rPr>
          <w:b w:val="0"/>
        </w:rPr>
      </w:pPr>
      <w:r>
        <w:rPr>
          <w:b w:val="0"/>
        </w:rPr>
        <w:t>24 June 2014</w:t>
      </w:r>
    </w:p>
    <w:p w:rsidR="00591B3F" w:rsidRDefault="00591B3F" w:rsidP="009B0194">
      <w:pPr>
        <w:pStyle w:val="JuCase"/>
        <w:ind w:firstLine="0"/>
        <w:jc w:val="center"/>
        <w:rPr>
          <w:b w:val="0"/>
        </w:rPr>
      </w:pPr>
    </w:p>
    <w:p w:rsidR="00591B3F" w:rsidRDefault="00591B3F" w:rsidP="009B0194">
      <w:pPr>
        <w:pStyle w:val="JuCase"/>
        <w:ind w:firstLine="0"/>
        <w:jc w:val="center"/>
        <w:rPr>
          <w:b w:val="0"/>
        </w:rPr>
      </w:pPr>
    </w:p>
    <w:p w:rsidR="00591B3F" w:rsidRDefault="00591B3F" w:rsidP="009B0194">
      <w:pPr>
        <w:pStyle w:val="JuCase"/>
        <w:ind w:firstLine="0"/>
        <w:jc w:val="center"/>
        <w:rPr>
          <w:b w:val="0"/>
        </w:rPr>
      </w:pPr>
    </w:p>
    <w:p w:rsidR="00BD402D" w:rsidRDefault="00BD402D" w:rsidP="009B0194">
      <w:pPr>
        <w:pStyle w:val="JuCase"/>
        <w:ind w:firstLine="0"/>
        <w:jc w:val="center"/>
        <w:rPr>
          <w:b w:val="0"/>
          <w:i/>
          <w:sz w:val="22"/>
        </w:rPr>
      </w:pPr>
    </w:p>
    <w:p w:rsidR="00BD402D" w:rsidRDefault="00BD402D" w:rsidP="009B0194">
      <w:pPr>
        <w:pStyle w:val="JuCase"/>
        <w:ind w:firstLine="0"/>
        <w:jc w:val="center"/>
        <w:rPr>
          <w:b w:val="0"/>
          <w:i/>
          <w:sz w:val="22"/>
        </w:rPr>
      </w:pPr>
    </w:p>
    <w:p w:rsidR="00CC17F5" w:rsidRDefault="00591B3F" w:rsidP="009B0194">
      <w:pPr>
        <w:pStyle w:val="JuCase"/>
        <w:ind w:firstLine="0"/>
        <w:jc w:val="center"/>
        <w:rPr>
          <w:i/>
          <w:sz w:val="22"/>
        </w:rPr>
      </w:pPr>
      <w:r>
        <w:rPr>
          <w:b w:val="0"/>
          <w:i/>
          <w:sz w:val="22"/>
        </w:rPr>
        <w:t>This judgment will become final in the circumstances set out in Article 44 § 2 of the Convention. It may be subject to editorial revision.</w:t>
      </w:r>
    </w:p>
    <w:p w:rsidR="00591B3F" w:rsidRPr="00591B3F" w:rsidRDefault="00591B3F" w:rsidP="009B0194">
      <w:pPr>
        <w:pStyle w:val="JuCase"/>
        <w:ind w:firstLine="0"/>
        <w:rPr>
          <w:b w:val="0"/>
        </w:rPr>
        <w:sectPr w:rsidR="00591B3F" w:rsidRPr="00591B3F" w:rsidSect="00591B3F">
          <w:headerReference w:type="default" r:id="rId9"/>
          <w:headerReference w:type="first" r:id="rId10"/>
          <w:footerReference w:type="first" r:id="rId11"/>
          <w:pgSz w:w="11906" w:h="16838" w:code="9"/>
          <w:pgMar w:top="2274" w:right="2274" w:bottom="2274" w:left="2274" w:header="1701" w:footer="720" w:gutter="0"/>
          <w:pgNumType w:start="1"/>
          <w:cols w:space="720"/>
          <w:titlePg/>
          <w:docGrid w:linePitch="326"/>
        </w:sectPr>
      </w:pPr>
    </w:p>
    <w:p w:rsidR="00B030BE" w:rsidRPr="00B46173" w:rsidRDefault="00F71A6A" w:rsidP="009B0194">
      <w:pPr>
        <w:pStyle w:val="JuCase"/>
        <w:rPr>
          <w:b w:val="0"/>
          <w:bCs/>
        </w:rPr>
      </w:pPr>
      <w:r w:rsidRPr="00B46173">
        <w:t>In the case of</w:t>
      </w:r>
      <w:r w:rsidR="00B030BE" w:rsidRPr="00B46173">
        <w:t xml:space="preserve"> </w:t>
      </w:r>
      <w:r w:rsidR="00634F53">
        <w:t>Azienda Agricola Silverfunghi S.</w:t>
      </w:r>
      <w:r w:rsidR="00CE464B">
        <w:t>a</w:t>
      </w:r>
      <w:r w:rsidR="00634F53">
        <w:t>.</w:t>
      </w:r>
      <w:r w:rsidR="00CE464B">
        <w:t>s</w:t>
      </w:r>
      <w:r w:rsidR="00634F53">
        <w:t xml:space="preserve">. </w:t>
      </w:r>
      <w:r w:rsidR="00A37157">
        <w:t xml:space="preserve">and Others </w:t>
      </w:r>
      <w:r w:rsidR="00634F53">
        <w:t>v.</w:t>
      </w:r>
      <w:r w:rsidR="00864D90">
        <w:t> </w:t>
      </w:r>
      <w:r w:rsidR="00634F53">
        <w:t>Italy</w:t>
      </w:r>
      <w:r w:rsidR="00B030BE" w:rsidRPr="00B46173">
        <w:t>,</w:t>
      </w:r>
    </w:p>
    <w:p w:rsidR="00730433" w:rsidRPr="00864D90" w:rsidRDefault="00F71A6A" w:rsidP="009B0194">
      <w:pPr>
        <w:pStyle w:val="ECHRPara"/>
        <w:rPr>
          <w:bCs/>
          <w:szCs w:val="24"/>
          <w:lang w:val="en-US"/>
        </w:rPr>
      </w:pPr>
      <w:r w:rsidRPr="00864D90">
        <w:rPr>
          <w:bCs/>
          <w:szCs w:val="24"/>
          <w:lang w:val="en-US"/>
        </w:rPr>
        <w:t xml:space="preserve">The European </w:t>
      </w:r>
      <w:r w:rsidRPr="009B0194">
        <w:rPr>
          <w:lang w:val="en-GB"/>
        </w:rPr>
        <w:t>Court</w:t>
      </w:r>
      <w:r w:rsidRPr="00864D90">
        <w:rPr>
          <w:bCs/>
          <w:szCs w:val="24"/>
          <w:lang w:val="en-US"/>
        </w:rPr>
        <w:t xml:space="preserve"> of Human Rights (</w:t>
      </w:r>
      <w:r w:rsidR="00634F53" w:rsidRPr="00864D90">
        <w:rPr>
          <w:bCs/>
          <w:szCs w:val="24"/>
          <w:lang w:val="en-US"/>
        </w:rPr>
        <w:t>Second Section</w:t>
      </w:r>
      <w:r w:rsidRPr="00864D90">
        <w:rPr>
          <w:bCs/>
          <w:szCs w:val="24"/>
          <w:lang w:val="en-US"/>
        </w:rPr>
        <w:t xml:space="preserve">), sitting as a </w:t>
      </w:r>
      <w:r w:rsidR="00634F53" w:rsidRPr="00864D90">
        <w:rPr>
          <w:bCs/>
          <w:noProof/>
          <w:szCs w:val="24"/>
          <w:lang w:val="en-US"/>
        </w:rPr>
        <w:t>Chamber</w:t>
      </w:r>
      <w:r w:rsidR="00730433" w:rsidRPr="00864D90">
        <w:rPr>
          <w:bCs/>
          <w:szCs w:val="24"/>
          <w:lang w:val="en-US"/>
        </w:rPr>
        <w:t xml:space="preserve"> composed of:</w:t>
      </w:r>
    </w:p>
    <w:p w:rsidR="00F71A6A" w:rsidRPr="00BD402D" w:rsidRDefault="00591B3F" w:rsidP="009B0194">
      <w:pPr>
        <w:pStyle w:val="ECHRDecisionBody"/>
        <w:rPr>
          <w:lang w:val="en-US"/>
        </w:rPr>
      </w:pPr>
      <w:r w:rsidRPr="003C02B9">
        <w:rPr>
          <w:lang w:val="en-US"/>
        </w:rPr>
        <w:tab/>
      </w:r>
      <w:r w:rsidRPr="00BD402D">
        <w:rPr>
          <w:lang w:val="en-US"/>
        </w:rPr>
        <w:t>Işıl Karakaş,</w:t>
      </w:r>
      <w:r w:rsidRPr="00BD402D">
        <w:rPr>
          <w:i/>
          <w:lang w:val="en-US"/>
        </w:rPr>
        <w:t xml:space="preserve"> President,</w:t>
      </w:r>
      <w:r w:rsidRPr="00BD402D">
        <w:rPr>
          <w:i/>
          <w:lang w:val="en-US"/>
        </w:rPr>
        <w:br/>
      </w:r>
      <w:r w:rsidRPr="00BD402D">
        <w:rPr>
          <w:lang w:val="en-US"/>
        </w:rPr>
        <w:tab/>
        <w:t>Guido Raimondi,</w:t>
      </w:r>
      <w:r w:rsidRPr="00BD402D">
        <w:rPr>
          <w:i/>
          <w:lang w:val="en-US"/>
        </w:rPr>
        <w:br/>
      </w:r>
      <w:r w:rsidRPr="00BD402D">
        <w:rPr>
          <w:lang w:val="en-US"/>
        </w:rPr>
        <w:tab/>
        <w:t>Nebojša Vučinić,</w:t>
      </w:r>
      <w:r w:rsidRPr="00BD402D">
        <w:rPr>
          <w:i/>
          <w:lang w:val="en-US"/>
        </w:rPr>
        <w:br/>
      </w:r>
      <w:r w:rsidRPr="00BD402D">
        <w:rPr>
          <w:lang w:val="en-US"/>
        </w:rPr>
        <w:tab/>
        <w:t>Helen Keller,</w:t>
      </w:r>
      <w:r w:rsidRPr="00BD402D">
        <w:rPr>
          <w:i/>
          <w:lang w:val="en-US"/>
        </w:rPr>
        <w:br/>
      </w:r>
      <w:r w:rsidRPr="00BD402D">
        <w:rPr>
          <w:lang w:val="en-US"/>
        </w:rPr>
        <w:tab/>
        <w:t>Paul Lemmens,</w:t>
      </w:r>
      <w:r w:rsidRPr="00BD402D">
        <w:rPr>
          <w:i/>
          <w:lang w:val="en-US"/>
        </w:rPr>
        <w:br/>
      </w:r>
      <w:r w:rsidRPr="00BD402D">
        <w:rPr>
          <w:lang w:val="en-US"/>
        </w:rPr>
        <w:tab/>
        <w:t>Egidijus Kūris,</w:t>
      </w:r>
      <w:r w:rsidRPr="00BD402D">
        <w:rPr>
          <w:i/>
          <w:lang w:val="en-US"/>
        </w:rPr>
        <w:br/>
      </w:r>
      <w:r w:rsidRPr="00BD402D">
        <w:rPr>
          <w:lang w:val="en-US"/>
        </w:rPr>
        <w:tab/>
        <w:t>Robert Spano,</w:t>
      </w:r>
      <w:r w:rsidRPr="00BD402D">
        <w:rPr>
          <w:i/>
          <w:lang w:val="en-US"/>
        </w:rPr>
        <w:t xml:space="preserve"> judges,</w:t>
      </w:r>
      <w:r w:rsidRPr="00BD402D">
        <w:rPr>
          <w:i/>
          <w:lang w:val="en-US"/>
        </w:rPr>
        <w:br/>
      </w:r>
      <w:r w:rsidR="00F71A6A" w:rsidRPr="00BD402D">
        <w:rPr>
          <w:lang w:val="en-US"/>
        </w:rPr>
        <w:t>and</w:t>
      </w:r>
      <w:r w:rsidR="000726F6" w:rsidRPr="00BD402D">
        <w:rPr>
          <w:lang w:val="en-US"/>
        </w:rPr>
        <w:t xml:space="preserve"> </w:t>
      </w:r>
      <w:r w:rsidR="00634F53" w:rsidRPr="00BD402D">
        <w:rPr>
          <w:noProof/>
          <w:lang w:val="en-US"/>
        </w:rPr>
        <w:t>Stanley Naismith</w:t>
      </w:r>
      <w:r w:rsidR="009D4B87" w:rsidRPr="00BD402D">
        <w:rPr>
          <w:rStyle w:val="JuJudgesChar"/>
          <w:lang w:val="en-US"/>
        </w:rPr>
        <w:t xml:space="preserve">, </w:t>
      </w:r>
      <w:r w:rsidR="00634F53" w:rsidRPr="00BD402D">
        <w:rPr>
          <w:i/>
          <w:noProof/>
          <w:lang w:val="en-US"/>
        </w:rPr>
        <w:t xml:space="preserve">Section </w:t>
      </w:r>
      <w:r w:rsidR="00634F53" w:rsidRPr="00BD402D">
        <w:rPr>
          <w:i/>
          <w:iCs/>
          <w:noProof/>
          <w:lang w:val="en-US"/>
        </w:rPr>
        <w:t>Registrar</w:t>
      </w:r>
      <w:r w:rsidR="00F71A6A" w:rsidRPr="00BD402D">
        <w:rPr>
          <w:i/>
          <w:lang w:val="en-US"/>
        </w:rPr>
        <w:t>,</w:t>
      </w:r>
    </w:p>
    <w:p w:rsidR="00F71A6A" w:rsidRPr="00B46173" w:rsidRDefault="00F71A6A" w:rsidP="009B0194">
      <w:pPr>
        <w:pStyle w:val="ECHRPara"/>
        <w:rPr>
          <w:lang w:val="en-GB"/>
        </w:rPr>
      </w:pPr>
      <w:r w:rsidRPr="00B46173">
        <w:rPr>
          <w:lang w:val="en-GB"/>
        </w:rPr>
        <w:t xml:space="preserve">Having deliberated in private on </w:t>
      </w:r>
      <w:r w:rsidR="00591B3F">
        <w:rPr>
          <w:lang w:val="en-GB"/>
        </w:rPr>
        <w:t>27 May 2014</w:t>
      </w:r>
      <w:r w:rsidRPr="00B46173">
        <w:rPr>
          <w:lang w:val="en-GB"/>
        </w:rPr>
        <w:t>,</w:t>
      </w:r>
    </w:p>
    <w:p w:rsidR="00F71A6A" w:rsidRPr="00B46173" w:rsidRDefault="00F71A6A" w:rsidP="009B0194">
      <w:pPr>
        <w:pStyle w:val="ECHRPara"/>
        <w:rPr>
          <w:lang w:val="en-GB"/>
        </w:rPr>
      </w:pPr>
      <w:r w:rsidRPr="00B46173">
        <w:rPr>
          <w:lang w:val="en-GB"/>
        </w:rPr>
        <w:t>Delivers the following judgment, which was adopted on that date:</w:t>
      </w:r>
    </w:p>
    <w:p w:rsidR="00F71A6A" w:rsidRPr="00B46173" w:rsidRDefault="00F71A6A" w:rsidP="009B0194">
      <w:pPr>
        <w:pStyle w:val="ECHRTitle1"/>
        <w:rPr>
          <w:lang w:val="en-GB"/>
        </w:rPr>
      </w:pPr>
      <w:r w:rsidRPr="00B46173">
        <w:rPr>
          <w:lang w:val="en-GB"/>
        </w:rPr>
        <w:t>PROCEDURE</w:t>
      </w:r>
    </w:p>
    <w:p w:rsidR="00634F53" w:rsidRDefault="0055733C" w:rsidP="009B0194">
      <w:pPr>
        <w:pStyle w:val="ECHRPara"/>
        <w:rPr>
          <w:lang w:val="en-GB"/>
        </w:rPr>
      </w:pPr>
      <w:r>
        <w:rPr>
          <w:lang w:val="en-GB"/>
        </w:rPr>
        <w:fldChar w:fldCharType="begin"/>
      </w:r>
      <w:r>
        <w:rPr>
          <w:lang w:val="en-GB"/>
        </w:rPr>
        <w:instrText xml:space="preserve"> SEQ level0 \*arabic </w:instrText>
      </w:r>
      <w:r>
        <w:rPr>
          <w:lang w:val="en-GB"/>
        </w:rPr>
        <w:fldChar w:fldCharType="separate"/>
      </w:r>
      <w:r w:rsidR="00D471CA">
        <w:rPr>
          <w:noProof/>
          <w:lang w:val="en-GB"/>
        </w:rPr>
        <w:t>1</w:t>
      </w:r>
      <w:r>
        <w:rPr>
          <w:lang w:val="en-GB"/>
        </w:rPr>
        <w:fldChar w:fldCharType="end"/>
      </w:r>
      <w:r>
        <w:rPr>
          <w:lang w:val="en-GB"/>
        </w:rPr>
        <w:t>.  </w:t>
      </w:r>
      <w:r w:rsidR="00F71A6A" w:rsidRPr="00B46173">
        <w:rPr>
          <w:lang w:val="en-GB"/>
        </w:rPr>
        <w:t xml:space="preserve">The case originated in </w:t>
      </w:r>
      <w:r w:rsidR="00DD6E59">
        <w:rPr>
          <w:noProof/>
          <w:lang w:val="en-GB"/>
        </w:rPr>
        <w:t>four</w:t>
      </w:r>
      <w:r w:rsidR="00634F53" w:rsidRPr="00B46173">
        <w:rPr>
          <w:noProof/>
          <w:lang w:val="en-GB"/>
        </w:rPr>
        <w:t xml:space="preserve"> applications (nos. </w:t>
      </w:r>
      <w:r w:rsidR="00634F53">
        <w:rPr>
          <w:noProof/>
          <w:lang w:val="en-GB"/>
        </w:rPr>
        <w:t>48357/07</w:t>
      </w:r>
      <w:r w:rsidR="00DD6E59">
        <w:rPr>
          <w:noProof/>
          <w:lang w:val="en-GB"/>
        </w:rPr>
        <w:t>, 52677/0/07, 52687/07</w:t>
      </w:r>
      <w:r w:rsidR="00634F53" w:rsidRPr="00B46173">
        <w:rPr>
          <w:noProof/>
          <w:lang w:val="en-GB"/>
        </w:rPr>
        <w:t xml:space="preserve"> and </w:t>
      </w:r>
      <w:r w:rsidR="00DD6E59">
        <w:rPr>
          <w:noProof/>
          <w:lang w:val="en-GB"/>
        </w:rPr>
        <w:t>52701/07</w:t>
      </w:r>
      <w:r w:rsidR="00634F53" w:rsidRPr="00B46173">
        <w:rPr>
          <w:noProof/>
          <w:lang w:val="en-GB"/>
        </w:rPr>
        <w:t>)</w:t>
      </w:r>
      <w:r w:rsidR="00F71A6A" w:rsidRPr="00B46173">
        <w:rPr>
          <w:lang w:val="en-GB"/>
        </w:rPr>
        <w:t xml:space="preserve"> against </w:t>
      </w:r>
      <w:r w:rsidR="00634F53">
        <w:rPr>
          <w:lang w:val="en-GB"/>
        </w:rPr>
        <w:t>the Italian Republic</w:t>
      </w:r>
      <w:r w:rsidR="00F71A6A" w:rsidRPr="00B46173">
        <w:rPr>
          <w:lang w:val="en-GB"/>
        </w:rPr>
        <w:t xml:space="preserve"> lodged with the </w:t>
      </w:r>
      <w:r w:rsidR="00634F53" w:rsidRPr="00B46173">
        <w:rPr>
          <w:noProof/>
          <w:lang w:val="en-GB"/>
        </w:rPr>
        <w:t>Court under Article 34</w:t>
      </w:r>
      <w:r w:rsidR="004920B1" w:rsidRPr="00B46173">
        <w:rPr>
          <w:lang w:val="en-GB"/>
        </w:rPr>
        <w:t xml:space="preserve"> of the Convention for the Protection of Human Rights and Fundamental Freedoms (“the Convention”)</w:t>
      </w:r>
      <w:r w:rsidR="00F71A6A" w:rsidRPr="00B46173">
        <w:rPr>
          <w:lang w:val="en-GB"/>
        </w:rPr>
        <w:t xml:space="preserve"> </w:t>
      </w:r>
      <w:r w:rsidR="00DD6E59">
        <w:rPr>
          <w:lang w:val="en-GB"/>
        </w:rPr>
        <w:t xml:space="preserve">in 2007 </w:t>
      </w:r>
      <w:r w:rsidR="00F71A6A" w:rsidRPr="00B46173">
        <w:rPr>
          <w:lang w:val="en-GB"/>
        </w:rPr>
        <w:t xml:space="preserve">by </w:t>
      </w:r>
      <w:r w:rsidR="00DD6E59">
        <w:rPr>
          <w:noProof/>
          <w:lang w:val="en-GB"/>
        </w:rPr>
        <w:t xml:space="preserve">four firms </w:t>
      </w:r>
      <w:r w:rsidR="00300589">
        <w:rPr>
          <w:noProof/>
          <w:lang w:val="en-GB"/>
        </w:rPr>
        <w:t>with</w:t>
      </w:r>
      <w:r w:rsidR="00632A2E">
        <w:rPr>
          <w:noProof/>
          <w:lang w:val="en-GB"/>
        </w:rPr>
        <w:t xml:space="preserve"> </w:t>
      </w:r>
      <w:r w:rsidR="00DD6E59">
        <w:rPr>
          <w:noProof/>
          <w:lang w:val="en-GB"/>
        </w:rPr>
        <w:t>registred ad</w:t>
      </w:r>
      <w:r w:rsidR="00BC4361">
        <w:rPr>
          <w:noProof/>
          <w:lang w:val="en-GB"/>
        </w:rPr>
        <w:t>d</w:t>
      </w:r>
      <w:r w:rsidR="00DD6E59">
        <w:rPr>
          <w:noProof/>
          <w:lang w:val="en-GB"/>
        </w:rPr>
        <w:t>ress</w:t>
      </w:r>
      <w:r w:rsidR="00300589">
        <w:rPr>
          <w:noProof/>
          <w:lang w:val="en-GB"/>
        </w:rPr>
        <w:t>es</w:t>
      </w:r>
      <w:r w:rsidR="00DD6E59">
        <w:rPr>
          <w:noProof/>
          <w:lang w:val="en-GB"/>
        </w:rPr>
        <w:t xml:space="preserve"> in Italy (see Annex for details)</w:t>
      </w:r>
      <w:r w:rsidR="00F71A6A" w:rsidRPr="00B46173">
        <w:rPr>
          <w:lang w:val="en-GB"/>
        </w:rPr>
        <w:t>.</w:t>
      </w:r>
    </w:p>
    <w:p w:rsidR="00634F53" w:rsidRPr="00B46173" w:rsidRDefault="00634F53" w:rsidP="009B0194">
      <w:pPr>
        <w:pStyle w:val="ECHRPara"/>
        <w:rPr>
          <w:noProof/>
          <w:lang w:val="en-GB"/>
        </w:rPr>
      </w:pPr>
      <w:r>
        <w:rPr>
          <w:lang w:val="en-GB"/>
        </w:rPr>
        <w:fldChar w:fldCharType="begin"/>
      </w:r>
      <w:r>
        <w:rPr>
          <w:lang w:val="en-GB"/>
        </w:rPr>
        <w:instrText xml:space="preserve"> SEQ level0 \*arabic </w:instrText>
      </w:r>
      <w:r>
        <w:rPr>
          <w:lang w:val="en-GB"/>
        </w:rPr>
        <w:fldChar w:fldCharType="separate"/>
      </w:r>
      <w:r w:rsidR="00D471CA">
        <w:rPr>
          <w:noProof/>
          <w:lang w:val="en-GB"/>
        </w:rPr>
        <w:t>2</w:t>
      </w:r>
      <w:r>
        <w:rPr>
          <w:lang w:val="en-GB"/>
        </w:rPr>
        <w:fldChar w:fldCharType="end"/>
      </w:r>
      <w:r w:rsidR="00F71A6A" w:rsidRPr="00B46173">
        <w:rPr>
          <w:lang w:val="en-GB"/>
        </w:rPr>
        <w:t>.  </w:t>
      </w:r>
      <w:r w:rsidRPr="00B46173">
        <w:rPr>
          <w:noProof/>
          <w:lang w:val="en-GB"/>
        </w:rPr>
        <w:t>The applicant</w:t>
      </w:r>
      <w:r w:rsidR="00DD6E59">
        <w:rPr>
          <w:noProof/>
          <w:lang w:val="en-GB"/>
        </w:rPr>
        <w:t xml:space="preserve"> companie</w:t>
      </w:r>
      <w:r w:rsidRPr="00B46173">
        <w:rPr>
          <w:noProof/>
          <w:lang w:val="en-GB"/>
        </w:rPr>
        <w:t xml:space="preserve">s were represented by </w:t>
      </w:r>
      <w:r w:rsidR="00784828">
        <w:rPr>
          <w:noProof/>
          <w:lang w:val="en-GB"/>
        </w:rPr>
        <w:t>M</w:t>
      </w:r>
      <w:r>
        <w:rPr>
          <w:noProof/>
          <w:lang w:val="en-GB"/>
        </w:rPr>
        <w:t>s</w:t>
      </w:r>
      <w:r w:rsidRPr="00B46173">
        <w:rPr>
          <w:noProof/>
          <w:lang w:val="en-GB"/>
        </w:rPr>
        <w:t xml:space="preserve"> </w:t>
      </w:r>
      <w:r>
        <w:rPr>
          <w:noProof/>
          <w:lang w:val="en-GB"/>
        </w:rPr>
        <w:t>A</w:t>
      </w:r>
      <w:r w:rsidR="00784828">
        <w:rPr>
          <w:noProof/>
          <w:lang w:val="en-GB"/>
        </w:rPr>
        <w:t>lessandra</w:t>
      </w:r>
      <w:r w:rsidRPr="00B46173">
        <w:rPr>
          <w:noProof/>
          <w:lang w:val="en-GB"/>
        </w:rPr>
        <w:t xml:space="preserve"> </w:t>
      </w:r>
      <w:r>
        <w:rPr>
          <w:noProof/>
          <w:lang w:val="en-GB"/>
        </w:rPr>
        <w:t>Mari</w:t>
      </w:r>
      <w:r w:rsidRPr="00B46173">
        <w:rPr>
          <w:noProof/>
          <w:lang w:val="en-GB"/>
        </w:rPr>
        <w:t xml:space="preserve">, a lawyer practising in </w:t>
      </w:r>
      <w:r>
        <w:rPr>
          <w:noProof/>
          <w:lang w:val="en-GB"/>
        </w:rPr>
        <w:t>Rome</w:t>
      </w:r>
      <w:r w:rsidRPr="00B46173">
        <w:rPr>
          <w:noProof/>
          <w:lang w:val="en-GB"/>
        </w:rPr>
        <w:t xml:space="preserve">. </w:t>
      </w:r>
      <w:r w:rsidR="00F71A6A" w:rsidRPr="00B46173">
        <w:rPr>
          <w:lang w:val="en-GB"/>
        </w:rPr>
        <w:t xml:space="preserve">The </w:t>
      </w:r>
      <w:r>
        <w:rPr>
          <w:lang w:val="en-GB"/>
        </w:rPr>
        <w:t>Italian</w:t>
      </w:r>
      <w:r w:rsidR="00F71A6A" w:rsidRPr="00B46173">
        <w:rPr>
          <w:lang w:val="en-GB"/>
        </w:rPr>
        <w:t xml:space="preserve"> Government (“the Government”) were represented by their</w:t>
      </w:r>
      <w:r w:rsidR="006E2CA6" w:rsidRPr="006E2CA6">
        <w:rPr>
          <w:lang w:val="en-GB"/>
        </w:rPr>
        <w:t xml:space="preserve"> Agent Ms Ersiliagrazia Spatafora and their</w:t>
      </w:r>
      <w:r w:rsidR="00F71A6A" w:rsidRPr="00B46173">
        <w:rPr>
          <w:lang w:val="en-GB"/>
        </w:rPr>
        <w:t xml:space="preserve"> </w:t>
      </w:r>
      <w:r w:rsidR="00784828">
        <w:rPr>
          <w:lang w:val="en-GB"/>
        </w:rPr>
        <w:t>Co-Agent, M</w:t>
      </w:r>
      <w:r w:rsidR="00F71A6A" w:rsidRPr="00B46173">
        <w:rPr>
          <w:lang w:val="en-GB"/>
        </w:rPr>
        <w:t>s</w:t>
      </w:r>
      <w:r w:rsidR="00632A2E">
        <w:rPr>
          <w:lang w:val="en-GB"/>
        </w:rPr>
        <w:t xml:space="preserve"> </w:t>
      </w:r>
      <w:r w:rsidR="00784828">
        <w:rPr>
          <w:lang w:val="en-GB"/>
        </w:rPr>
        <w:t>Paola Accardo</w:t>
      </w:r>
      <w:r w:rsidR="00F71A6A" w:rsidRPr="00B46173">
        <w:rPr>
          <w:lang w:val="en-GB"/>
        </w:rPr>
        <w:t>.</w:t>
      </w:r>
    </w:p>
    <w:p w:rsidR="00F71A6A" w:rsidRPr="00B46173" w:rsidRDefault="00634F53" w:rsidP="009B0194">
      <w:pPr>
        <w:pStyle w:val="ECHRPara"/>
        <w:rPr>
          <w:lang w:val="en-GB"/>
        </w:rPr>
      </w:pPr>
      <w:r>
        <w:rPr>
          <w:noProof/>
          <w:lang w:val="en-GB"/>
        </w:rPr>
        <w:fldChar w:fldCharType="begin"/>
      </w:r>
      <w:r>
        <w:rPr>
          <w:noProof/>
          <w:lang w:val="en-GB"/>
        </w:rPr>
        <w:instrText xml:space="preserve"> SEQ level0 \*arabic </w:instrText>
      </w:r>
      <w:r>
        <w:rPr>
          <w:noProof/>
          <w:lang w:val="en-GB"/>
        </w:rPr>
        <w:fldChar w:fldCharType="separate"/>
      </w:r>
      <w:r w:rsidR="00D471CA">
        <w:rPr>
          <w:noProof/>
          <w:lang w:val="en-GB"/>
        </w:rPr>
        <w:t>3</w:t>
      </w:r>
      <w:r>
        <w:rPr>
          <w:noProof/>
          <w:lang w:val="en-GB"/>
        </w:rPr>
        <w:fldChar w:fldCharType="end"/>
      </w:r>
      <w:r w:rsidRPr="00B46173">
        <w:rPr>
          <w:noProof/>
          <w:lang w:val="en-GB"/>
        </w:rPr>
        <w:t>.  The applicant</w:t>
      </w:r>
      <w:r w:rsidR="00064F2E">
        <w:rPr>
          <w:noProof/>
          <w:lang w:val="en-GB"/>
        </w:rPr>
        <w:t xml:space="preserve"> companie</w:t>
      </w:r>
      <w:r w:rsidRPr="00B46173">
        <w:rPr>
          <w:noProof/>
          <w:lang w:val="en-GB"/>
        </w:rPr>
        <w:t xml:space="preserve">s alleged </w:t>
      </w:r>
      <w:r w:rsidR="00674620">
        <w:rPr>
          <w:noProof/>
          <w:lang w:val="en-GB"/>
        </w:rPr>
        <w:t>that they had su</w:t>
      </w:r>
      <w:r w:rsidR="00E10FBD">
        <w:rPr>
          <w:noProof/>
          <w:lang w:val="en-GB"/>
        </w:rPr>
        <w:t>ffered a violation of Article 6 </w:t>
      </w:r>
      <w:r w:rsidR="00674620" w:rsidRPr="00674620">
        <w:rPr>
          <w:rFonts w:cstheme="minorHAnsi"/>
          <w:noProof/>
          <w:lang w:val="en-GB"/>
        </w:rPr>
        <w:t>§</w:t>
      </w:r>
      <w:r w:rsidR="00E10FBD">
        <w:rPr>
          <w:noProof/>
          <w:lang w:val="en-GB"/>
        </w:rPr>
        <w:t> </w:t>
      </w:r>
      <w:r w:rsidR="00674620">
        <w:rPr>
          <w:noProof/>
          <w:lang w:val="en-GB"/>
        </w:rPr>
        <w:t xml:space="preserve">1 </w:t>
      </w:r>
      <w:r w:rsidR="00F06B47">
        <w:rPr>
          <w:noProof/>
          <w:lang w:val="en-GB"/>
        </w:rPr>
        <w:t xml:space="preserve">and Article 1 of Protocol No. 1 to the Convention </w:t>
      </w:r>
      <w:r w:rsidR="00674620">
        <w:rPr>
          <w:noProof/>
          <w:lang w:val="en-GB"/>
        </w:rPr>
        <w:t xml:space="preserve">as a result of legislative intervention </w:t>
      </w:r>
      <w:r w:rsidR="00756A91">
        <w:rPr>
          <w:noProof/>
          <w:lang w:val="en-GB"/>
        </w:rPr>
        <w:t xml:space="preserve">in </w:t>
      </w:r>
      <w:r w:rsidR="00674620">
        <w:rPr>
          <w:noProof/>
          <w:lang w:val="en-GB"/>
        </w:rPr>
        <w:t>pending proceedings</w:t>
      </w:r>
      <w:r w:rsidRPr="00B46173">
        <w:rPr>
          <w:noProof/>
          <w:lang w:val="en-GB"/>
        </w:rPr>
        <w:t>.</w:t>
      </w:r>
    </w:p>
    <w:p w:rsidR="003A64D3" w:rsidRPr="00B46173" w:rsidRDefault="00460D48" w:rsidP="009B0194">
      <w:pPr>
        <w:pStyle w:val="ECHRPara"/>
        <w:rPr>
          <w:lang w:val="en-GB"/>
        </w:rPr>
      </w:pPr>
      <w:r>
        <w:rPr>
          <w:lang w:val="en-GB"/>
        </w:rPr>
        <w:fldChar w:fldCharType="begin"/>
      </w:r>
      <w:r>
        <w:rPr>
          <w:lang w:val="en-GB"/>
        </w:rPr>
        <w:instrText xml:space="preserve"> SEQ level0 \*arabic </w:instrText>
      </w:r>
      <w:r>
        <w:rPr>
          <w:lang w:val="en-GB"/>
        </w:rPr>
        <w:fldChar w:fldCharType="separate"/>
      </w:r>
      <w:r w:rsidR="00D471CA">
        <w:rPr>
          <w:noProof/>
          <w:lang w:val="en-GB"/>
        </w:rPr>
        <w:t>4</w:t>
      </w:r>
      <w:r>
        <w:rPr>
          <w:lang w:val="en-GB"/>
        </w:rPr>
        <w:fldChar w:fldCharType="end"/>
      </w:r>
      <w:r>
        <w:rPr>
          <w:lang w:val="en-GB"/>
        </w:rPr>
        <w:t>.  </w:t>
      </w:r>
      <w:r w:rsidR="00F71A6A" w:rsidRPr="00B46173">
        <w:rPr>
          <w:lang w:val="en-GB"/>
        </w:rPr>
        <w:t xml:space="preserve">On </w:t>
      </w:r>
      <w:r w:rsidR="00634F53">
        <w:rPr>
          <w:noProof/>
          <w:szCs w:val="24"/>
          <w:lang w:val="en-GB"/>
        </w:rPr>
        <w:t>11 October 2012</w:t>
      </w:r>
      <w:r w:rsidR="00F71A6A" w:rsidRPr="00B46173">
        <w:rPr>
          <w:lang w:val="en-GB"/>
        </w:rPr>
        <w:t xml:space="preserve"> </w:t>
      </w:r>
      <w:r w:rsidR="0009409F" w:rsidRPr="00B46173">
        <w:rPr>
          <w:lang w:val="en-GB"/>
        </w:rPr>
        <w:t xml:space="preserve">the </w:t>
      </w:r>
      <w:r w:rsidR="00634F53" w:rsidRPr="00B46173">
        <w:rPr>
          <w:noProof/>
          <w:lang w:val="en-GB"/>
        </w:rPr>
        <w:t>applications were</w:t>
      </w:r>
      <w:r w:rsidR="0009409F" w:rsidRPr="00B46173">
        <w:rPr>
          <w:lang w:val="en-GB"/>
        </w:rPr>
        <w:t xml:space="preserve"> communicated </w:t>
      </w:r>
      <w:r w:rsidR="00F71A6A" w:rsidRPr="00B46173">
        <w:rPr>
          <w:lang w:val="en-GB"/>
        </w:rPr>
        <w:t>to the Gove</w:t>
      </w:r>
      <w:r w:rsidR="00485A6F" w:rsidRPr="00B46173">
        <w:rPr>
          <w:lang w:val="en-GB"/>
        </w:rPr>
        <w:t>rnment.</w:t>
      </w:r>
    </w:p>
    <w:p w:rsidR="00F71A6A" w:rsidRPr="00B46173" w:rsidRDefault="00F71A6A" w:rsidP="009B0194">
      <w:pPr>
        <w:pStyle w:val="ECHRTitle1"/>
        <w:rPr>
          <w:lang w:val="en-GB"/>
        </w:rPr>
      </w:pPr>
      <w:r w:rsidRPr="00B46173">
        <w:rPr>
          <w:lang w:val="en-GB"/>
        </w:rPr>
        <w:t>THE FACTS</w:t>
      </w:r>
    </w:p>
    <w:p w:rsidR="00D353F4" w:rsidRPr="00B46173" w:rsidRDefault="007352DD" w:rsidP="009B0194">
      <w:pPr>
        <w:pStyle w:val="ECHRHeading1"/>
        <w:rPr>
          <w:lang w:val="en-GB"/>
        </w:rPr>
      </w:pPr>
      <w:r w:rsidRPr="00B46173">
        <w:rPr>
          <w:lang w:val="en-GB"/>
        </w:rPr>
        <w:t xml:space="preserve">I.  THE CIRCUMSTANCES OF THE </w:t>
      </w:r>
      <w:r w:rsidR="00D353F4" w:rsidRPr="00B46173">
        <w:rPr>
          <w:lang w:val="en-GB"/>
        </w:rPr>
        <w:t>CASE</w:t>
      </w:r>
    </w:p>
    <w:p w:rsidR="00DE1463" w:rsidRPr="00DE1463" w:rsidRDefault="00DE1463" w:rsidP="009B0194">
      <w:pPr>
        <w:pStyle w:val="ECHRHeading2"/>
        <w:rPr>
          <w:lang w:val="en-GB"/>
        </w:rPr>
      </w:pPr>
      <w:r w:rsidRPr="00DE1463">
        <w:rPr>
          <w:lang w:val="en-GB"/>
        </w:rPr>
        <w:t xml:space="preserve">A.  The </w:t>
      </w:r>
      <w:r w:rsidR="00BC4361">
        <w:rPr>
          <w:lang w:val="en-GB"/>
        </w:rPr>
        <w:t xml:space="preserve">background </w:t>
      </w:r>
      <w:r>
        <w:rPr>
          <w:lang w:val="en-GB"/>
        </w:rPr>
        <w:t>to</w:t>
      </w:r>
      <w:r w:rsidRPr="00DE1463">
        <w:rPr>
          <w:lang w:val="en-GB"/>
        </w:rPr>
        <w:t xml:space="preserve"> the cases</w:t>
      </w:r>
    </w:p>
    <w:p w:rsidR="00632A2E" w:rsidRDefault="00784828" w:rsidP="009B0194">
      <w:pPr>
        <w:pStyle w:val="ECHRPara"/>
        <w:rPr>
          <w:lang w:val="en-GB"/>
        </w:rPr>
      </w:pPr>
      <w:r>
        <w:rPr>
          <w:lang w:val="en-GB"/>
        </w:rPr>
        <w:fldChar w:fldCharType="begin"/>
      </w:r>
      <w:r>
        <w:rPr>
          <w:lang w:val="en-GB"/>
        </w:rPr>
        <w:instrText xml:space="preserve"> SEQ level0 \*arabic </w:instrText>
      </w:r>
      <w:r>
        <w:rPr>
          <w:lang w:val="en-GB"/>
        </w:rPr>
        <w:fldChar w:fldCharType="separate"/>
      </w:r>
      <w:r w:rsidR="00D471CA">
        <w:rPr>
          <w:noProof/>
          <w:lang w:val="en-GB"/>
        </w:rPr>
        <w:t>5</w:t>
      </w:r>
      <w:r>
        <w:rPr>
          <w:lang w:val="en-GB"/>
        </w:rPr>
        <w:fldChar w:fldCharType="end"/>
      </w:r>
      <w:r>
        <w:rPr>
          <w:lang w:val="en-GB"/>
        </w:rPr>
        <w:t>.  </w:t>
      </w:r>
      <w:r w:rsidR="00DE1463" w:rsidRPr="00DE1463">
        <w:rPr>
          <w:lang w:val="en-GB"/>
        </w:rPr>
        <w:t xml:space="preserve">The applicants are agricultural firms operating in </w:t>
      </w:r>
      <w:r w:rsidR="00DE1463" w:rsidRPr="00F00584">
        <w:rPr>
          <w:lang w:val="en-GB"/>
        </w:rPr>
        <w:t>northern and/or disadvantaged areas</w:t>
      </w:r>
      <w:r w:rsidR="00DE1463" w:rsidRPr="00DE1463">
        <w:rPr>
          <w:lang w:val="en-GB"/>
        </w:rPr>
        <w:t xml:space="preserve"> in Italy as defined in the relevant Italian laws.</w:t>
      </w:r>
    </w:p>
    <w:p w:rsidR="00DE1463" w:rsidRPr="00DE1463" w:rsidRDefault="00784828" w:rsidP="009B0194">
      <w:pPr>
        <w:pStyle w:val="ECHRPara"/>
        <w:rPr>
          <w:lang w:val="en-GB"/>
        </w:rPr>
      </w:pPr>
      <w:r>
        <w:rPr>
          <w:lang w:val="en-GB"/>
        </w:rPr>
        <w:fldChar w:fldCharType="begin"/>
      </w:r>
      <w:r>
        <w:rPr>
          <w:lang w:val="en-GB"/>
        </w:rPr>
        <w:instrText xml:space="preserve"> SEQ level0 \*arabic </w:instrText>
      </w:r>
      <w:r>
        <w:rPr>
          <w:lang w:val="en-GB"/>
        </w:rPr>
        <w:fldChar w:fldCharType="separate"/>
      </w:r>
      <w:r w:rsidR="00D471CA">
        <w:rPr>
          <w:noProof/>
          <w:lang w:val="en-GB"/>
        </w:rPr>
        <w:t>6</w:t>
      </w:r>
      <w:r>
        <w:rPr>
          <w:lang w:val="en-GB"/>
        </w:rPr>
        <w:fldChar w:fldCharType="end"/>
      </w:r>
      <w:r>
        <w:rPr>
          <w:lang w:val="en-GB"/>
        </w:rPr>
        <w:t>.  </w:t>
      </w:r>
      <w:r w:rsidR="00DE1463" w:rsidRPr="00DE1463">
        <w:rPr>
          <w:lang w:val="en-GB"/>
        </w:rPr>
        <w:t>In the 1980s the Italian legislator instituted a series of norms to favour economic activity in general and</w:t>
      </w:r>
      <w:r w:rsidR="00BC4361">
        <w:rPr>
          <w:lang w:val="en-GB"/>
        </w:rPr>
        <w:t>,</w:t>
      </w:r>
      <w:r w:rsidR="00DE1463" w:rsidRPr="00DE1463">
        <w:rPr>
          <w:lang w:val="en-GB"/>
        </w:rPr>
        <w:t xml:space="preserve"> more specifically</w:t>
      </w:r>
      <w:r w:rsidR="00BC4361">
        <w:rPr>
          <w:lang w:val="en-GB"/>
        </w:rPr>
        <w:t>,</w:t>
      </w:r>
      <w:r w:rsidR="00DE1463" w:rsidRPr="00DE1463">
        <w:rPr>
          <w:lang w:val="en-GB"/>
        </w:rPr>
        <w:t xml:space="preserve"> agricultural activity.</w:t>
      </w:r>
    </w:p>
    <w:p w:rsidR="00632A2E" w:rsidRDefault="00784828" w:rsidP="009B0194">
      <w:pPr>
        <w:pStyle w:val="ECHRPara"/>
        <w:rPr>
          <w:lang w:val="en-GB"/>
        </w:rPr>
      </w:pPr>
      <w:r>
        <w:rPr>
          <w:lang w:val="en-GB"/>
        </w:rPr>
        <w:fldChar w:fldCharType="begin"/>
      </w:r>
      <w:r>
        <w:rPr>
          <w:lang w:val="en-GB"/>
        </w:rPr>
        <w:instrText xml:space="preserve"> SEQ level0 \*arabic </w:instrText>
      </w:r>
      <w:r>
        <w:rPr>
          <w:lang w:val="en-GB"/>
        </w:rPr>
        <w:fldChar w:fldCharType="separate"/>
      </w:r>
      <w:r w:rsidR="00D471CA">
        <w:rPr>
          <w:noProof/>
          <w:lang w:val="en-GB"/>
        </w:rPr>
        <w:t>7</w:t>
      </w:r>
      <w:r>
        <w:rPr>
          <w:lang w:val="en-GB"/>
        </w:rPr>
        <w:fldChar w:fldCharType="end"/>
      </w:r>
      <w:r>
        <w:rPr>
          <w:lang w:val="en-GB"/>
        </w:rPr>
        <w:t>.  </w:t>
      </w:r>
      <w:r w:rsidR="00DE1463" w:rsidRPr="00DE1463">
        <w:rPr>
          <w:lang w:val="en-GB"/>
        </w:rPr>
        <w:t xml:space="preserve">More precisely, </w:t>
      </w:r>
      <w:r w:rsidR="004847E1">
        <w:rPr>
          <w:lang w:val="en-GB"/>
        </w:rPr>
        <w:t>A</w:t>
      </w:r>
      <w:r w:rsidR="00DE1463" w:rsidRPr="00DE1463">
        <w:rPr>
          <w:lang w:val="en-GB"/>
        </w:rPr>
        <w:t>rticle 1</w:t>
      </w:r>
      <w:r w:rsidR="004847E1">
        <w:rPr>
          <w:lang w:val="en-GB"/>
        </w:rPr>
        <w:t>(</w:t>
      </w:r>
      <w:r w:rsidR="00DE1463" w:rsidRPr="00DE1463">
        <w:rPr>
          <w:lang w:val="en-GB"/>
        </w:rPr>
        <w:t>6</w:t>
      </w:r>
      <w:r w:rsidR="004847E1">
        <w:rPr>
          <w:lang w:val="en-GB"/>
        </w:rPr>
        <w:t>)</w:t>
      </w:r>
      <w:r w:rsidR="00DE1463" w:rsidRPr="00DE1463">
        <w:rPr>
          <w:lang w:val="en-GB"/>
        </w:rPr>
        <w:t xml:space="preserve"> of Law no. 48 of 1988 (Legislative Decree no. 536 of 30 December 1987) (see </w:t>
      </w:r>
      <w:r w:rsidR="00BC4361">
        <w:rPr>
          <w:lang w:val="en-GB"/>
        </w:rPr>
        <w:t>“</w:t>
      </w:r>
      <w:r w:rsidR="00DE1463" w:rsidRPr="00DE1463">
        <w:rPr>
          <w:lang w:val="en-GB"/>
        </w:rPr>
        <w:t>Relevant domestic law</w:t>
      </w:r>
      <w:r w:rsidR="00BC4361">
        <w:rPr>
          <w:lang w:val="en-GB"/>
        </w:rPr>
        <w:t>”</w:t>
      </w:r>
      <w:r w:rsidR="00DE1463" w:rsidRPr="00DE1463">
        <w:rPr>
          <w:lang w:val="en-GB"/>
        </w:rPr>
        <w:t>, below) provided a concession (</w:t>
      </w:r>
      <w:r w:rsidR="00DE1463" w:rsidRPr="00DE1463">
        <w:rPr>
          <w:i/>
          <w:lang w:val="en-GB"/>
        </w:rPr>
        <w:t>fiscalizzazione</w:t>
      </w:r>
      <w:r w:rsidR="00DE1463" w:rsidRPr="00DE1463">
        <w:rPr>
          <w:lang w:val="en-GB"/>
        </w:rPr>
        <w:t>), namely</w:t>
      </w:r>
      <w:r w:rsidR="00BC4361">
        <w:rPr>
          <w:lang w:val="en-GB"/>
        </w:rPr>
        <w:t>,</w:t>
      </w:r>
      <w:r w:rsidR="00DE1463" w:rsidRPr="00DE1463">
        <w:rPr>
          <w:lang w:val="en-GB"/>
        </w:rPr>
        <w:t xml:space="preserve"> that as </w:t>
      </w:r>
      <w:r w:rsidR="00BC4361">
        <w:rPr>
          <w:lang w:val="en-GB"/>
        </w:rPr>
        <w:t>of</w:t>
      </w:r>
      <w:r w:rsidR="00BC4361" w:rsidRPr="00DE1463">
        <w:rPr>
          <w:lang w:val="en-GB"/>
        </w:rPr>
        <w:t xml:space="preserve"> </w:t>
      </w:r>
      <w:r w:rsidR="00DE1463" w:rsidRPr="00DE1463">
        <w:rPr>
          <w:lang w:val="en-GB"/>
        </w:rPr>
        <w:t>1 January 1987 the State would bear a portion of the contribution</w:t>
      </w:r>
      <w:r w:rsidR="007B7F42">
        <w:rPr>
          <w:lang w:val="en-GB"/>
        </w:rPr>
        <w:t>s</w:t>
      </w:r>
      <w:r w:rsidR="00DE1463" w:rsidRPr="00DE1463">
        <w:rPr>
          <w:lang w:val="en-GB"/>
        </w:rPr>
        <w:t xml:space="preserve"> paid by employers in the agricultural sector for the purposes of </w:t>
      </w:r>
      <w:r w:rsidR="004847E1">
        <w:rPr>
          <w:lang w:val="en-GB"/>
        </w:rPr>
        <w:t>A</w:t>
      </w:r>
      <w:r w:rsidR="00DE1463" w:rsidRPr="00DE1463">
        <w:rPr>
          <w:lang w:val="en-GB"/>
        </w:rPr>
        <w:t>rticle 31</w:t>
      </w:r>
      <w:r w:rsidR="004847E1">
        <w:rPr>
          <w:lang w:val="en-GB"/>
        </w:rPr>
        <w:t>(</w:t>
      </w:r>
      <w:r w:rsidR="00DE1463" w:rsidRPr="00DE1463">
        <w:rPr>
          <w:lang w:val="en-GB"/>
        </w:rPr>
        <w:t>1</w:t>
      </w:r>
      <w:r w:rsidR="004847E1">
        <w:rPr>
          <w:lang w:val="en-GB"/>
        </w:rPr>
        <w:t>)</w:t>
      </w:r>
      <w:r w:rsidR="00DE1463" w:rsidRPr="00DE1463">
        <w:rPr>
          <w:lang w:val="en-GB"/>
        </w:rPr>
        <w:t xml:space="preserve"> of Law no. 41/48 in respect of each employee.</w:t>
      </w:r>
    </w:p>
    <w:p w:rsidR="00632A2E" w:rsidRDefault="00784828" w:rsidP="009B0194">
      <w:pPr>
        <w:pStyle w:val="ECHRPara"/>
        <w:rPr>
          <w:lang w:val="en-GB"/>
        </w:rPr>
      </w:pPr>
      <w:r>
        <w:rPr>
          <w:lang w:val="en-GB"/>
        </w:rPr>
        <w:fldChar w:fldCharType="begin"/>
      </w:r>
      <w:r>
        <w:rPr>
          <w:lang w:val="en-GB"/>
        </w:rPr>
        <w:instrText xml:space="preserve"> SEQ level0 \*arabic </w:instrText>
      </w:r>
      <w:r>
        <w:rPr>
          <w:lang w:val="en-GB"/>
        </w:rPr>
        <w:fldChar w:fldCharType="separate"/>
      </w:r>
      <w:r w:rsidR="00D471CA">
        <w:rPr>
          <w:noProof/>
          <w:lang w:val="en-GB"/>
        </w:rPr>
        <w:t>8</w:t>
      </w:r>
      <w:r>
        <w:rPr>
          <w:lang w:val="en-GB"/>
        </w:rPr>
        <w:fldChar w:fldCharType="end"/>
      </w:r>
      <w:r>
        <w:rPr>
          <w:lang w:val="en-GB"/>
        </w:rPr>
        <w:t>.  </w:t>
      </w:r>
      <w:r w:rsidR="00DE1463" w:rsidRPr="00DE1463">
        <w:rPr>
          <w:lang w:val="en-GB"/>
        </w:rPr>
        <w:t xml:space="preserve">Furthermore, </w:t>
      </w:r>
      <w:r w:rsidR="004847E1">
        <w:rPr>
          <w:lang w:val="en-GB"/>
        </w:rPr>
        <w:t>A</w:t>
      </w:r>
      <w:r w:rsidR="00DE1463" w:rsidRPr="00DE1463">
        <w:rPr>
          <w:lang w:val="en-GB"/>
        </w:rPr>
        <w:t>rticle 9</w:t>
      </w:r>
      <w:r w:rsidR="004847E1">
        <w:rPr>
          <w:lang w:val="en-GB"/>
        </w:rPr>
        <w:t>(</w:t>
      </w:r>
      <w:r w:rsidR="00DE1463" w:rsidRPr="00DE1463">
        <w:rPr>
          <w:lang w:val="en-GB"/>
        </w:rPr>
        <w:t>5</w:t>
      </w:r>
      <w:r w:rsidR="004847E1">
        <w:rPr>
          <w:lang w:val="en-GB"/>
        </w:rPr>
        <w:t>)</w:t>
      </w:r>
      <w:r w:rsidR="00DE1463" w:rsidRPr="00DE1463">
        <w:rPr>
          <w:lang w:val="en-GB"/>
        </w:rPr>
        <w:t xml:space="preserve"> of Law No. 67 of 1988 (</w:t>
      </w:r>
      <w:r w:rsidR="00DE1463" w:rsidRPr="00DE1463">
        <w:rPr>
          <w:i/>
          <w:lang w:val="en-GB"/>
        </w:rPr>
        <w:t>Legge finanziaria</w:t>
      </w:r>
      <w:r w:rsidR="00DE1463" w:rsidRPr="00DE1463">
        <w:rPr>
          <w:lang w:val="en-GB"/>
        </w:rPr>
        <w:t xml:space="preserve"> </w:t>
      </w:r>
      <w:r w:rsidR="00DE1463" w:rsidRPr="00DE1463">
        <w:rPr>
          <w:i/>
          <w:lang w:val="en-GB"/>
        </w:rPr>
        <w:t>1988</w:t>
      </w:r>
      <w:r w:rsidR="00DE1463" w:rsidRPr="00DE1463">
        <w:rPr>
          <w:lang w:val="en-GB"/>
        </w:rPr>
        <w:t xml:space="preserve">) (see </w:t>
      </w:r>
      <w:r w:rsidR="00300589">
        <w:rPr>
          <w:lang w:val="en-GB"/>
        </w:rPr>
        <w:t>“</w:t>
      </w:r>
      <w:r w:rsidR="00DE1463" w:rsidRPr="00DE1463">
        <w:rPr>
          <w:lang w:val="en-GB"/>
        </w:rPr>
        <w:t>Relevant domestic law</w:t>
      </w:r>
      <w:r w:rsidR="00300589">
        <w:rPr>
          <w:lang w:val="en-GB"/>
        </w:rPr>
        <w:t>” below</w:t>
      </w:r>
      <w:r w:rsidR="00DE1463" w:rsidRPr="00DE1463">
        <w:rPr>
          <w:lang w:val="en-GB"/>
        </w:rPr>
        <w:t>) introduced a system of exemptions (</w:t>
      </w:r>
      <w:r w:rsidR="00DE1463" w:rsidRPr="00DE1463">
        <w:rPr>
          <w:i/>
          <w:lang w:val="en-GB"/>
        </w:rPr>
        <w:t>sgravi contributivi</w:t>
      </w:r>
      <w:r w:rsidR="00DE1463" w:rsidRPr="00DE1463">
        <w:rPr>
          <w:lang w:val="en-GB"/>
        </w:rPr>
        <w:t>) in respect of payments for the purposes of premiums and contributions related to welfare and assistance</w:t>
      </w:r>
      <w:r w:rsidR="00300589">
        <w:rPr>
          <w:lang w:val="en-GB"/>
        </w:rPr>
        <w:t>.</w:t>
      </w:r>
      <w:r w:rsidR="00DE1463" w:rsidRPr="00DE1463">
        <w:rPr>
          <w:lang w:val="en-GB"/>
        </w:rPr>
        <w:t xml:space="preserve"> </w:t>
      </w:r>
      <w:r w:rsidR="00300589">
        <w:rPr>
          <w:lang w:val="en-GB"/>
        </w:rPr>
        <w:t>S</w:t>
      </w:r>
      <w:r w:rsidR="00DE1463" w:rsidRPr="00DE1463">
        <w:rPr>
          <w:lang w:val="en-GB"/>
        </w:rPr>
        <w:t>uch payments were due in the measure of 15% (later 30%) by employers in the agricultural sector in northern regions and 40% (later 60%) by employers in the agricultural sector working in disadvantaged agricultural zones in the south of Italy.</w:t>
      </w:r>
    </w:p>
    <w:p w:rsidR="00DE1463" w:rsidRPr="00DE1463" w:rsidRDefault="00784828" w:rsidP="009B0194">
      <w:pPr>
        <w:pStyle w:val="ECHRPara"/>
        <w:rPr>
          <w:lang w:val="en-GB"/>
        </w:rPr>
      </w:pPr>
      <w:r>
        <w:rPr>
          <w:lang w:val="en-GB"/>
        </w:rPr>
        <w:fldChar w:fldCharType="begin"/>
      </w:r>
      <w:r>
        <w:rPr>
          <w:lang w:val="en-GB"/>
        </w:rPr>
        <w:instrText xml:space="preserve"> SEQ level0 \*arabic </w:instrText>
      </w:r>
      <w:r>
        <w:rPr>
          <w:lang w:val="en-GB"/>
        </w:rPr>
        <w:fldChar w:fldCharType="separate"/>
      </w:r>
      <w:r w:rsidR="00D471CA">
        <w:rPr>
          <w:noProof/>
          <w:lang w:val="en-GB"/>
        </w:rPr>
        <w:t>9</w:t>
      </w:r>
      <w:r>
        <w:rPr>
          <w:lang w:val="en-GB"/>
        </w:rPr>
        <w:fldChar w:fldCharType="end"/>
      </w:r>
      <w:r>
        <w:rPr>
          <w:lang w:val="en-GB"/>
        </w:rPr>
        <w:t>.  </w:t>
      </w:r>
      <w:r w:rsidR="00DE1463" w:rsidRPr="00DE1463">
        <w:rPr>
          <w:lang w:val="en-GB"/>
        </w:rPr>
        <w:t>According to the applicant</w:t>
      </w:r>
      <w:r w:rsidR="00064F2E">
        <w:rPr>
          <w:lang w:val="en-GB"/>
        </w:rPr>
        <w:t xml:space="preserve"> companie</w:t>
      </w:r>
      <w:r w:rsidR="00DE1463" w:rsidRPr="00DE1463">
        <w:rPr>
          <w:lang w:val="en-GB"/>
        </w:rPr>
        <w:t xml:space="preserve">s, </w:t>
      </w:r>
      <w:r w:rsidR="004847E1">
        <w:rPr>
          <w:lang w:val="en-GB"/>
        </w:rPr>
        <w:t>A</w:t>
      </w:r>
      <w:r w:rsidR="004847E1" w:rsidRPr="00DE1463">
        <w:rPr>
          <w:lang w:val="en-GB"/>
        </w:rPr>
        <w:t xml:space="preserve">rticle </w:t>
      </w:r>
      <w:r w:rsidR="00DE1463" w:rsidRPr="00DE1463">
        <w:rPr>
          <w:lang w:val="en-GB"/>
        </w:rPr>
        <w:t>9</w:t>
      </w:r>
      <w:r w:rsidR="004847E1">
        <w:rPr>
          <w:lang w:val="en-GB"/>
        </w:rPr>
        <w:t>(</w:t>
      </w:r>
      <w:r w:rsidR="00DE1463" w:rsidRPr="00DE1463">
        <w:rPr>
          <w:lang w:val="en-GB"/>
        </w:rPr>
        <w:t>6</w:t>
      </w:r>
      <w:r w:rsidR="004847E1">
        <w:rPr>
          <w:lang w:val="en-GB"/>
        </w:rPr>
        <w:t>)</w:t>
      </w:r>
      <w:r w:rsidR="00DE1463" w:rsidRPr="00DE1463">
        <w:rPr>
          <w:lang w:val="en-GB"/>
        </w:rPr>
        <w:t xml:space="preserve"> of Law No. 67 of 1988 </w:t>
      </w:r>
      <w:r w:rsidR="00B038DA">
        <w:rPr>
          <w:lang w:val="en-GB"/>
        </w:rPr>
        <w:t>(s</w:t>
      </w:r>
      <w:r w:rsidR="00E10FBD">
        <w:rPr>
          <w:lang w:val="en-GB"/>
        </w:rPr>
        <w:t xml:space="preserve">ee </w:t>
      </w:r>
      <w:r w:rsidR="00300589">
        <w:rPr>
          <w:lang w:val="en-GB"/>
        </w:rPr>
        <w:t>“</w:t>
      </w:r>
      <w:r w:rsidR="00E10FBD">
        <w:rPr>
          <w:lang w:val="en-GB"/>
        </w:rPr>
        <w:t>Relevant domestic law</w:t>
      </w:r>
      <w:r w:rsidR="00300589">
        <w:rPr>
          <w:lang w:val="en-GB"/>
        </w:rPr>
        <w:t>” below</w:t>
      </w:r>
      <w:r w:rsidR="00E10FBD">
        <w:rPr>
          <w:lang w:val="en-GB"/>
        </w:rPr>
        <w:t xml:space="preserve">) </w:t>
      </w:r>
      <w:r w:rsidR="00DE1463" w:rsidRPr="00DE1463">
        <w:rPr>
          <w:lang w:val="en-GB"/>
        </w:rPr>
        <w:t>indicated that the latter benefit was not alternative to the one provided for by Law</w:t>
      </w:r>
      <w:r w:rsidR="00B43121">
        <w:rPr>
          <w:lang w:val="en-GB"/>
        </w:rPr>
        <w:t xml:space="preserve"> no. 48 of 1988</w:t>
      </w:r>
      <w:r w:rsidR="00300589">
        <w:rPr>
          <w:lang w:val="en-GB"/>
        </w:rPr>
        <w:t>.</w:t>
      </w:r>
      <w:r w:rsidR="00DE1463" w:rsidRPr="00DE1463">
        <w:rPr>
          <w:lang w:val="en-GB"/>
        </w:rPr>
        <w:t xml:space="preserve"> </w:t>
      </w:r>
      <w:r w:rsidR="00300589">
        <w:rPr>
          <w:lang w:val="en-GB"/>
        </w:rPr>
        <w:t>T</w:t>
      </w:r>
      <w:r w:rsidR="00B038DA">
        <w:rPr>
          <w:lang w:val="en-GB"/>
        </w:rPr>
        <w:t>hat sub-</w:t>
      </w:r>
      <w:r w:rsidR="00E10FBD">
        <w:rPr>
          <w:lang w:val="en-GB"/>
        </w:rPr>
        <w:t xml:space="preserve">article specified that for </w:t>
      </w:r>
      <w:r w:rsidR="00E10FBD" w:rsidRPr="00DE1463">
        <w:rPr>
          <w:lang w:val="en-GB"/>
        </w:rPr>
        <w:t xml:space="preserve">the purposes of the calculation of the exemption mentioned </w:t>
      </w:r>
      <w:r w:rsidR="00B038DA">
        <w:rPr>
          <w:lang w:val="en-GB"/>
        </w:rPr>
        <w:t>above</w:t>
      </w:r>
      <w:r w:rsidR="00E10FBD" w:rsidRPr="00DE1463">
        <w:rPr>
          <w:lang w:val="en-GB"/>
        </w:rPr>
        <w:t xml:space="preserve">, the concession </w:t>
      </w:r>
      <w:r w:rsidR="00B038DA">
        <w:rPr>
          <w:lang w:val="en-GB"/>
        </w:rPr>
        <w:t>was</w:t>
      </w:r>
      <w:r w:rsidR="00E10FBD" w:rsidRPr="00DE1463">
        <w:rPr>
          <w:lang w:val="en-GB"/>
        </w:rPr>
        <w:t xml:space="preserve"> not to be taken into account</w:t>
      </w:r>
      <w:r w:rsidR="00E10FBD">
        <w:rPr>
          <w:lang w:val="en-GB"/>
        </w:rPr>
        <w:t xml:space="preserve">. </w:t>
      </w:r>
      <w:r w:rsidR="00DE1463" w:rsidRPr="00DE1463">
        <w:rPr>
          <w:lang w:val="en-GB"/>
        </w:rPr>
        <w:t xml:space="preserve">This, they considered, was </w:t>
      </w:r>
      <w:r w:rsidR="00B038DA">
        <w:rPr>
          <w:lang w:val="en-GB"/>
        </w:rPr>
        <w:t xml:space="preserve">also </w:t>
      </w:r>
      <w:r w:rsidR="00DE1463" w:rsidRPr="00DE1463">
        <w:rPr>
          <w:lang w:val="en-GB"/>
        </w:rPr>
        <w:t>clear from the explanatory memorandum (</w:t>
      </w:r>
      <w:r w:rsidR="00DE1463" w:rsidRPr="00DE1463">
        <w:rPr>
          <w:i/>
          <w:lang w:val="en-GB"/>
        </w:rPr>
        <w:t>scheda di lettura</w:t>
      </w:r>
      <w:r w:rsidR="00DE1463" w:rsidRPr="00DE1463">
        <w:rPr>
          <w:lang w:val="en-GB"/>
        </w:rPr>
        <w:t>) to the law</w:t>
      </w:r>
      <w:r w:rsidR="00B038DA">
        <w:rPr>
          <w:lang w:val="en-GB"/>
        </w:rPr>
        <w:t xml:space="preserve"> (see </w:t>
      </w:r>
      <w:r w:rsidR="000B0BB7">
        <w:rPr>
          <w:lang w:val="en-GB"/>
        </w:rPr>
        <w:t>“</w:t>
      </w:r>
      <w:r w:rsidR="00B038DA">
        <w:rPr>
          <w:lang w:val="en-GB"/>
        </w:rPr>
        <w:t>Relevant domestic law</w:t>
      </w:r>
      <w:r w:rsidR="000B0BB7">
        <w:rPr>
          <w:lang w:val="en-GB"/>
        </w:rPr>
        <w:t>” below</w:t>
      </w:r>
      <w:r w:rsidR="00B038DA">
        <w:rPr>
          <w:lang w:val="en-GB"/>
        </w:rPr>
        <w:t>)</w:t>
      </w:r>
      <w:r w:rsidR="00DE1463" w:rsidRPr="00DE1463">
        <w:rPr>
          <w:lang w:val="en-GB"/>
        </w:rPr>
        <w:t>.</w:t>
      </w:r>
    </w:p>
    <w:p w:rsidR="00DE1463" w:rsidRPr="00DE1463" w:rsidRDefault="00784828" w:rsidP="009B0194">
      <w:pPr>
        <w:pStyle w:val="ECHRPara"/>
        <w:rPr>
          <w:lang w:val="en-GB"/>
        </w:rPr>
      </w:pPr>
      <w:r>
        <w:rPr>
          <w:lang w:val="en-GB"/>
        </w:rPr>
        <w:fldChar w:fldCharType="begin"/>
      </w:r>
      <w:r>
        <w:rPr>
          <w:lang w:val="en-GB"/>
        </w:rPr>
        <w:instrText xml:space="preserve"> SEQ level0 \*arabic </w:instrText>
      </w:r>
      <w:r>
        <w:rPr>
          <w:lang w:val="en-GB"/>
        </w:rPr>
        <w:fldChar w:fldCharType="separate"/>
      </w:r>
      <w:r w:rsidR="00D471CA">
        <w:rPr>
          <w:noProof/>
          <w:lang w:val="en-GB"/>
        </w:rPr>
        <w:t>10</w:t>
      </w:r>
      <w:r>
        <w:rPr>
          <w:lang w:val="en-GB"/>
        </w:rPr>
        <w:fldChar w:fldCharType="end"/>
      </w:r>
      <w:r>
        <w:rPr>
          <w:lang w:val="en-GB"/>
        </w:rPr>
        <w:t>.  </w:t>
      </w:r>
      <w:r w:rsidR="00DE1463" w:rsidRPr="00DE1463">
        <w:rPr>
          <w:lang w:val="en-GB"/>
        </w:rPr>
        <w:t>Following further normative changes between 1988 and 1996, the burden to be taken over by the State amounted to the following:</w:t>
      </w:r>
    </w:p>
    <w:p w:rsidR="00DE1463" w:rsidRPr="00DE1463" w:rsidRDefault="009B0194" w:rsidP="009B0194">
      <w:pPr>
        <w:pStyle w:val="ECHRPara"/>
        <w:rPr>
          <w:lang w:val="en-GB"/>
        </w:rPr>
      </w:pPr>
      <w:r>
        <w:rPr>
          <w:lang w:val="en-GB"/>
        </w:rPr>
        <w:t>a)  </w:t>
      </w:r>
      <w:r w:rsidR="00DE1463" w:rsidRPr="00DE1463">
        <w:rPr>
          <w:lang w:val="en-GB"/>
        </w:rPr>
        <w:t xml:space="preserve">85,000 Italian lire (approximately 44 euros </w:t>
      </w:r>
      <w:r w:rsidR="004847E1">
        <w:rPr>
          <w:lang w:val="en-GB"/>
        </w:rPr>
        <w:t>(</w:t>
      </w:r>
      <w:r w:rsidR="00DE1463" w:rsidRPr="00DE1463">
        <w:rPr>
          <w:lang w:val="en-GB"/>
        </w:rPr>
        <w:t>EUR</w:t>
      </w:r>
      <w:r w:rsidR="004847E1">
        <w:rPr>
          <w:lang w:val="en-GB"/>
        </w:rPr>
        <w:t>)</w:t>
      </w:r>
      <w:r w:rsidR="00DE1463" w:rsidRPr="00DE1463">
        <w:rPr>
          <w:lang w:val="en-GB"/>
        </w:rPr>
        <w:t>) per employee for twelve monthly salaries;</w:t>
      </w:r>
    </w:p>
    <w:p w:rsidR="00DE1463" w:rsidRPr="00DE1463" w:rsidRDefault="009B0194" w:rsidP="009B0194">
      <w:pPr>
        <w:pStyle w:val="ECHRPara"/>
        <w:rPr>
          <w:lang w:val="en-GB"/>
        </w:rPr>
      </w:pPr>
      <w:r>
        <w:rPr>
          <w:lang w:val="en-GB"/>
        </w:rPr>
        <w:t>b)  </w:t>
      </w:r>
      <w:r w:rsidR="00DE1463" w:rsidRPr="00DE1463">
        <w:rPr>
          <w:lang w:val="en-GB"/>
        </w:rPr>
        <w:t xml:space="preserve">a global 5.62 percentage points for exemptions in respect of </w:t>
      </w:r>
      <w:r w:rsidR="007F3424">
        <w:rPr>
          <w:lang w:val="en-GB"/>
        </w:rPr>
        <w:t xml:space="preserve">contributions for the purposes of </w:t>
      </w:r>
      <w:r w:rsidR="00DE1463" w:rsidRPr="00DE1463">
        <w:rPr>
          <w:lang w:val="en-GB"/>
        </w:rPr>
        <w:t>TBC</w:t>
      </w:r>
      <w:r w:rsidR="007F3424">
        <w:rPr>
          <w:lang w:val="en-GB"/>
        </w:rPr>
        <w:t xml:space="preserve"> (</w:t>
      </w:r>
      <w:r w:rsidR="00A6675B">
        <w:rPr>
          <w:lang w:val="en-GB"/>
        </w:rPr>
        <w:t>Tuberculosis</w:t>
      </w:r>
      <w:r w:rsidR="007F3424">
        <w:rPr>
          <w:lang w:val="en-GB"/>
        </w:rPr>
        <w:t>)</w:t>
      </w:r>
      <w:r w:rsidR="00DE1463" w:rsidRPr="00DE1463">
        <w:rPr>
          <w:lang w:val="en-GB"/>
        </w:rPr>
        <w:t>, ENAOLI</w:t>
      </w:r>
      <w:r w:rsidR="00A6675B">
        <w:rPr>
          <w:lang w:val="en-GB"/>
        </w:rPr>
        <w:t xml:space="preserve"> (Orphans of Italian E</w:t>
      </w:r>
      <w:r w:rsidR="007F3424">
        <w:rPr>
          <w:lang w:val="en-GB"/>
        </w:rPr>
        <w:t>mployees)</w:t>
      </w:r>
      <w:r w:rsidR="00DE1463" w:rsidRPr="00DE1463">
        <w:rPr>
          <w:lang w:val="en-GB"/>
        </w:rPr>
        <w:t xml:space="preserve"> and </w:t>
      </w:r>
      <w:r w:rsidR="007F3424">
        <w:rPr>
          <w:lang w:val="en-GB"/>
        </w:rPr>
        <w:t xml:space="preserve">the </w:t>
      </w:r>
      <w:r w:rsidR="00DE1463" w:rsidRPr="00DE1463">
        <w:rPr>
          <w:lang w:val="en-GB"/>
        </w:rPr>
        <w:t>SSN</w:t>
      </w:r>
      <w:r w:rsidR="007F3424">
        <w:rPr>
          <w:lang w:val="en-GB"/>
        </w:rPr>
        <w:t xml:space="preserve"> (National Health Service)</w:t>
      </w:r>
      <w:r w:rsidR="00DE1463" w:rsidRPr="00DE1463">
        <w:rPr>
          <w:lang w:val="en-GB"/>
        </w:rPr>
        <w:t>;</w:t>
      </w:r>
    </w:p>
    <w:p w:rsidR="00DE1463" w:rsidRPr="00DE1463" w:rsidRDefault="009B0194" w:rsidP="009B0194">
      <w:pPr>
        <w:pStyle w:val="ECHRPara"/>
        <w:rPr>
          <w:lang w:val="en-GB"/>
        </w:rPr>
      </w:pPr>
      <w:r>
        <w:rPr>
          <w:lang w:val="en-GB"/>
        </w:rPr>
        <w:t>c)  </w:t>
      </w:r>
      <w:r w:rsidR="00DE1463" w:rsidRPr="00DE1463">
        <w:rPr>
          <w:lang w:val="en-GB"/>
        </w:rPr>
        <w:t xml:space="preserve">a global 4.92 percentage points </w:t>
      </w:r>
      <w:r w:rsidR="000B0BB7">
        <w:rPr>
          <w:lang w:val="en-GB"/>
        </w:rPr>
        <w:t>for</w:t>
      </w:r>
      <w:r w:rsidR="00DE1463" w:rsidRPr="00DE1463">
        <w:rPr>
          <w:lang w:val="en-GB"/>
        </w:rPr>
        <w:t xml:space="preserve"> exemptions regarding the said contributions in respect of labourers and 5.02 percentage points for employees and directors, as from 1 June 1996.</w:t>
      </w:r>
    </w:p>
    <w:p w:rsidR="00DE1463" w:rsidRPr="00DE1463" w:rsidRDefault="00784828" w:rsidP="009B0194">
      <w:pPr>
        <w:pStyle w:val="ECHRPara"/>
        <w:rPr>
          <w:lang w:val="en-GB"/>
        </w:rPr>
      </w:pPr>
      <w:r>
        <w:rPr>
          <w:lang w:val="en-GB"/>
        </w:rPr>
        <w:fldChar w:fldCharType="begin"/>
      </w:r>
      <w:r>
        <w:rPr>
          <w:lang w:val="en-GB"/>
        </w:rPr>
        <w:instrText xml:space="preserve"> SEQ level0 \*arabic </w:instrText>
      </w:r>
      <w:r>
        <w:rPr>
          <w:lang w:val="en-GB"/>
        </w:rPr>
        <w:fldChar w:fldCharType="separate"/>
      </w:r>
      <w:r w:rsidR="00D471CA">
        <w:rPr>
          <w:noProof/>
          <w:lang w:val="en-GB"/>
        </w:rPr>
        <w:t>11</w:t>
      </w:r>
      <w:r>
        <w:rPr>
          <w:lang w:val="en-GB"/>
        </w:rPr>
        <w:fldChar w:fldCharType="end"/>
      </w:r>
      <w:r>
        <w:rPr>
          <w:lang w:val="en-GB"/>
        </w:rPr>
        <w:t>.  </w:t>
      </w:r>
      <w:r w:rsidR="00DE1463" w:rsidRPr="00DE1463">
        <w:rPr>
          <w:lang w:val="en-GB"/>
        </w:rPr>
        <w:t xml:space="preserve">Despite the law, by circular no. 160 of 18 July 1988 the </w:t>
      </w:r>
      <w:r w:rsidR="00DE1463" w:rsidRPr="00DE1463">
        <w:rPr>
          <w:i/>
          <w:lang w:val="en-GB"/>
        </w:rPr>
        <w:t>Istituto Nazionale della Previdenza Sociale</w:t>
      </w:r>
      <w:r w:rsidR="00DE1463" w:rsidRPr="00DE1463">
        <w:rPr>
          <w:lang w:val="en-GB"/>
        </w:rPr>
        <w:t xml:space="preserve"> (“INPS”), an Italian welfare entity, considered that the two benefits (concession and exemption)</w:t>
      </w:r>
      <w:r w:rsidR="00B43121">
        <w:rPr>
          <w:lang w:val="en-GB"/>
        </w:rPr>
        <w:t xml:space="preserve"> could not be accumulated</w:t>
      </w:r>
      <w:r w:rsidR="00DE1463" w:rsidRPr="00DE1463">
        <w:rPr>
          <w:lang w:val="en-GB"/>
        </w:rPr>
        <w:t xml:space="preserve"> and had </w:t>
      </w:r>
      <w:r w:rsidR="002B4C89">
        <w:rPr>
          <w:lang w:val="en-GB"/>
        </w:rPr>
        <w:t>to be considered as alternative</w:t>
      </w:r>
      <w:r w:rsidR="00DE1463" w:rsidRPr="00DE1463">
        <w:rPr>
          <w:lang w:val="en-GB"/>
        </w:rPr>
        <w:t>.</w:t>
      </w:r>
    </w:p>
    <w:p w:rsidR="00DE1463" w:rsidRPr="00DE1463" w:rsidRDefault="00784828" w:rsidP="009B0194">
      <w:pPr>
        <w:pStyle w:val="ECHRPara"/>
        <w:rPr>
          <w:lang w:val="en-GB"/>
        </w:rPr>
      </w:pPr>
      <w:r>
        <w:rPr>
          <w:lang w:val="en-GB"/>
        </w:rPr>
        <w:fldChar w:fldCharType="begin"/>
      </w:r>
      <w:r>
        <w:rPr>
          <w:lang w:val="en-GB"/>
        </w:rPr>
        <w:instrText xml:space="preserve"> SEQ level0 \*arabic </w:instrText>
      </w:r>
      <w:r>
        <w:rPr>
          <w:lang w:val="en-GB"/>
        </w:rPr>
        <w:fldChar w:fldCharType="separate"/>
      </w:r>
      <w:r w:rsidR="00D471CA">
        <w:rPr>
          <w:noProof/>
          <w:lang w:val="en-GB"/>
        </w:rPr>
        <w:t>12</w:t>
      </w:r>
      <w:r>
        <w:rPr>
          <w:lang w:val="en-GB"/>
        </w:rPr>
        <w:fldChar w:fldCharType="end"/>
      </w:r>
      <w:r>
        <w:rPr>
          <w:lang w:val="en-GB"/>
        </w:rPr>
        <w:t>.  </w:t>
      </w:r>
      <w:r w:rsidR="00DE1463" w:rsidRPr="00DE1463">
        <w:rPr>
          <w:lang w:val="en-GB"/>
        </w:rPr>
        <w:t>In fact</w:t>
      </w:r>
      <w:r w:rsidR="004847E1">
        <w:rPr>
          <w:lang w:val="en-GB"/>
        </w:rPr>
        <w:t>,</w:t>
      </w:r>
      <w:r w:rsidR="00DE1463" w:rsidRPr="00DE1463">
        <w:rPr>
          <w:lang w:val="en-GB"/>
        </w:rPr>
        <w:t xml:space="preserve"> the applicant companies benefited only from the exemption (</w:t>
      </w:r>
      <w:r w:rsidR="00DE1463" w:rsidRPr="00DE1463">
        <w:rPr>
          <w:i/>
          <w:lang w:val="en-GB"/>
        </w:rPr>
        <w:t>sgravi contributivi</w:t>
      </w:r>
      <w:r w:rsidR="00DE1463" w:rsidRPr="00DE1463">
        <w:rPr>
          <w:lang w:val="en-GB"/>
        </w:rPr>
        <w:t>) and not from the concession (</w:t>
      </w:r>
      <w:r w:rsidR="00DE1463" w:rsidRPr="00DE1463">
        <w:rPr>
          <w:i/>
          <w:lang w:val="en-GB"/>
        </w:rPr>
        <w:t>fiscalizzazione)</w:t>
      </w:r>
      <w:r w:rsidR="00DE1463" w:rsidRPr="00DE1463">
        <w:rPr>
          <w:lang w:val="en-GB"/>
        </w:rPr>
        <w:t xml:space="preserve">. They considered that this interpretation was contrary to </w:t>
      </w:r>
      <w:r w:rsidR="00C414A0">
        <w:rPr>
          <w:lang w:val="en-GB"/>
        </w:rPr>
        <w:t>w</w:t>
      </w:r>
      <w:r w:rsidR="00DE1463" w:rsidRPr="00DE1463">
        <w:rPr>
          <w:lang w:val="en-GB"/>
        </w:rPr>
        <w:t xml:space="preserve">hat </w:t>
      </w:r>
      <w:r w:rsidR="00C414A0">
        <w:rPr>
          <w:lang w:val="en-GB"/>
        </w:rPr>
        <w:t xml:space="preserve">was </w:t>
      </w:r>
      <w:r w:rsidR="00DE1463" w:rsidRPr="00DE1463">
        <w:rPr>
          <w:lang w:val="en-GB"/>
        </w:rPr>
        <w:t>provided for in</w:t>
      </w:r>
      <w:r w:rsidR="00C414A0">
        <w:rPr>
          <w:lang w:val="en-GB"/>
        </w:rPr>
        <w:t xml:space="preserve"> the</w:t>
      </w:r>
      <w:r w:rsidR="00DE1463" w:rsidRPr="00DE1463">
        <w:rPr>
          <w:lang w:val="en-GB"/>
        </w:rPr>
        <w:t xml:space="preserve"> law.</w:t>
      </w:r>
    </w:p>
    <w:p w:rsidR="00DE1463" w:rsidRPr="00DE1463" w:rsidRDefault="00784828" w:rsidP="009B0194">
      <w:pPr>
        <w:pStyle w:val="ECHRPara"/>
        <w:rPr>
          <w:lang w:val="en-GB"/>
        </w:rPr>
      </w:pPr>
      <w:r>
        <w:rPr>
          <w:lang w:val="en-GB"/>
        </w:rPr>
        <w:fldChar w:fldCharType="begin"/>
      </w:r>
      <w:r>
        <w:rPr>
          <w:lang w:val="en-GB"/>
        </w:rPr>
        <w:instrText xml:space="preserve"> SEQ level0 \*arabic </w:instrText>
      </w:r>
      <w:r>
        <w:rPr>
          <w:lang w:val="en-GB"/>
        </w:rPr>
        <w:fldChar w:fldCharType="separate"/>
      </w:r>
      <w:r w:rsidR="00D471CA">
        <w:rPr>
          <w:noProof/>
          <w:lang w:val="en-GB"/>
        </w:rPr>
        <w:t>13</w:t>
      </w:r>
      <w:r>
        <w:rPr>
          <w:lang w:val="en-GB"/>
        </w:rPr>
        <w:fldChar w:fldCharType="end"/>
      </w:r>
      <w:r>
        <w:rPr>
          <w:lang w:val="en-GB"/>
        </w:rPr>
        <w:t>.  </w:t>
      </w:r>
      <w:r w:rsidR="00DE1463" w:rsidRPr="00DE1463">
        <w:rPr>
          <w:lang w:val="en-GB"/>
        </w:rPr>
        <w:t>Indeed</w:t>
      </w:r>
      <w:r w:rsidR="000B0BB7">
        <w:rPr>
          <w:lang w:val="en-GB"/>
        </w:rPr>
        <w:t>,</w:t>
      </w:r>
      <w:r w:rsidR="00DE1463" w:rsidRPr="00DE1463">
        <w:rPr>
          <w:lang w:val="en-GB"/>
        </w:rPr>
        <w:t xml:space="preserve"> </w:t>
      </w:r>
      <w:r w:rsidR="00CA3820">
        <w:rPr>
          <w:lang w:val="en-GB"/>
        </w:rPr>
        <w:t xml:space="preserve">from </w:t>
      </w:r>
      <w:r w:rsidR="00123AE4">
        <w:rPr>
          <w:lang w:val="en-GB"/>
        </w:rPr>
        <w:t xml:space="preserve">as early as 1994 </w:t>
      </w:r>
      <w:r w:rsidR="00DE1463" w:rsidRPr="00DE1463">
        <w:rPr>
          <w:lang w:val="en-GB"/>
        </w:rPr>
        <w:t xml:space="preserve">a number of agricultural firms </w:t>
      </w:r>
      <w:r w:rsidR="006B22C0">
        <w:rPr>
          <w:lang w:val="en-GB"/>
        </w:rPr>
        <w:t xml:space="preserve">(in particular Floramiata Spa) </w:t>
      </w:r>
      <w:r w:rsidR="004847E1">
        <w:rPr>
          <w:lang w:val="en-GB"/>
        </w:rPr>
        <w:t>instituted</w:t>
      </w:r>
      <w:r w:rsidR="00DE1463" w:rsidRPr="00DE1463">
        <w:rPr>
          <w:lang w:val="en-GB"/>
        </w:rPr>
        <w:t xml:space="preserve"> proceedings</w:t>
      </w:r>
      <w:r w:rsidR="00A42130">
        <w:rPr>
          <w:lang w:val="en-GB"/>
        </w:rPr>
        <w:t xml:space="preserve"> (following administrative refusals)</w:t>
      </w:r>
      <w:r w:rsidR="00DE1463" w:rsidRPr="00DE1463">
        <w:rPr>
          <w:lang w:val="en-GB"/>
        </w:rPr>
        <w:t xml:space="preserve"> complaining about the matter</w:t>
      </w:r>
      <w:r w:rsidR="00C414A0">
        <w:rPr>
          <w:lang w:val="en-GB"/>
        </w:rPr>
        <w:t>,</w:t>
      </w:r>
      <w:r w:rsidR="00DE1463" w:rsidRPr="00DE1463">
        <w:rPr>
          <w:lang w:val="en-GB"/>
        </w:rPr>
        <w:t xml:space="preserve"> and </w:t>
      </w:r>
      <w:r w:rsidR="00A82AC4">
        <w:rPr>
          <w:lang w:val="en-GB"/>
        </w:rPr>
        <w:t xml:space="preserve">consistent case-law </w:t>
      </w:r>
      <w:r w:rsidR="00DE1463" w:rsidRPr="00DE1463">
        <w:rPr>
          <w:lang w:val="en-GB"/>
        </w:rPr>
        <w:t>in f</w:t>
      </w:r>
      <w:r w:rsidR="00A42130">
        <w:rPr>
          <w:lang w:val="en-GB"/>
        </w:rPr>
        <w:t>avour of the agricultural firms</w:t>
      </w:r>
      <w:r w:rsidR="00DE1463" w:rsidRPr="00DE1463">
        <w:rPr>
          <w:lang w:val="en-GB"/>
        </w:rPr>
        <w:t xml:space="preserve"> was established</w:t>
      </w:r>
      <w:r w:rsidR="00A82AC4" w:rsidRPr="00A82AC4">
        <w:rPr>
          <w:lang w:val="en-GB"/>
        </w:rPr>
        <w:t xml:space="preserve"> </w:t>
      </w:r>
      <w:r w:rsidR="00A82AC4">
        <w:rPr>
          <w:lang w:val="en-GB"/>
        </w:rPr>
        <w:t xml:space="preserve">by </w:t>
      </w:r>
      <w:r w:rsidR="00A82AC4" w:rsidRPr="00DE1463">
        <w:rPr>
          <w:lang w:val="en-GB"/>
        </w:rPr>
        <w:t>the Italian courts, including the Court of Cassation</w:t>
      </w:r>
      <w:r w:rsidR="00DE1463" w:rsidRPr="00DE1463">
        <w:rPr>
          <w:lang w:val="en-GB"/>
        </w:rPr>
        <w:t>. The applicant companies submitted that between 1997 and 2003 more than twenty-five first-instance judgments and more than five appeal judgments</w:t>
      </w:r>
      <w:r w:rsidR="00A82AC4" w:rsidRPr="00A82AC4">
        <w:rPr>
          <w:lang w:val="en-GB"/>
        </w:rPr>
        <w:t xml:space="preserve"> </w:t>
      </w:r>
      <w:r w:rsidR="00A82AC4" w:rsidRPr="00DE1463">
        <w:rPr>
          <w:lang w:val="en-GB"/>
        </w:rPr>
        <w:t>on the same subject</w:t>
      </w:r>
      <w:r w:rsidR="00C41462">
        <w:rPr>
          <w:lang w:val="en-GB"/>
        </w:rPr>
        <w:t xml:space="preserve"> </w:t>
      </w:r>
      <w:r w:rsidR="00A82AC4" w:rsidRPr="00DE1463">
        <w:rPr>
          <w:lang w:val="en-GB"/>
        </w:rPr>
        <w:t>matter had been delivered</w:t>
      </w:r>
      <w:r w:rsidR="00DE1463" w:rsidRPr="00DE1463">
        <w:rPr>
          <w:lang w:val="en-GB"/>
        </w:rPr>
        <w:t xml:space="preserve">, together with two Court of Cassation judgments (see </w:t>
      </w:r>
      <w:r w:rsidR="000B0BB7">
        <w:rPr>
          <w:lang w:val="en-GB"/>
        </w:rPr>
        <w:t>“</w:t>
      </w:r>
      <w:r w:rsidR="00DE1463" w:rsidRPr="00DE1463">
        <w:rPr>
          <w:lang w:val="en-GB"/>
        </w:rPr>
        <w:t>Relevant domestic law and practice</w:t>
      </w:r>
      <w:r w:rsidR="000B0BB7">
        <w:rPr>
          <w:lang w:val="en-GB"/>
        </w:rPr>
        <w:t>”</w:t>
      </w:r>
      <w:r w:rsidR="00DE1463" w:rsidRPr="00DE1463">
        <w:rPr>
          <w:lang w:val="en-GB"/>
        </w:rPr>
        <w:t>, below) finding in favour of the agricultural firms.</w:t>
      </w:r>
    </w:p>
    <w:p w:rsidR="00632A2E" w:rsidRDefault="00784828" w:rsidP="009B0194">
      <w:pPr>
        <w:pStyle w:val="ECHRPara"/>
        <w:rPr>
          <w:lang w:val="en-GB"/>
        </w:rPr>
      </w:pPr>
      <w:r>
        <w:rPr>
          <w:lang w:val="en-GB"/>
        </w:rPr>
        <w:fldChar w:fldCharType="begin"/>
      </w:r>
      <w:r>
        <w:rPr>
          <w:lang w:val="en-GB"/>
        </w:rPr>
        <w:instrText xml:space="preserve"> SEQ level0 \*arabic </w:instrText>
      </w:r>
      <w:r>
        <w:rPr>
          <w:lang w:val="en-GB"/>
        </w:rPr>
        <w:fldChar w:fldCharType="separate"/>
      </w:r>
      <w:r w:rsidR="00D471CA">
        <w:rPr>
          <w:noProof/>
          <w:lang w:val="en-GB"/>
        </w:rPr>
        <w:t>14</w:t>
      </w:r>
      <w:r>
        <w:rPr>
          <w:lang w:val="en-GB"/>
        </w:rPr>
        <w:fldChar w:fldCharType="end"/>
      </w:r>
      <w:r>
        <w:rPr>
          <w:lang w:val="en-GB"/>
        </w:rPr>
        <w:t>.  </w:t>
      </w:r>
      <w:r w:rsidR="00DE1463" w:rsidRPr="00DE1463">
        <w:rPr>
          <w:lang w:val="en-GB"/>
        </w:rPr>
        <w:t xml:space="preserve">In this light, in 2000/2002 the applicant companies instituted proceedings as explained below. Pending these judicial proceedings Law no. 326 of 24 November 2003 </w:t>
      </w:r>
      <w:r w:rsidR="00C82FDF">
        <w:rPr>
          <w:lang w:val="en-GB"/>
        </w:rPr>
        <w:t xml:space="preserve">(hereinafter </w:t>
      </w:r>
      <w:r w:rsidR="00C82FDF" w:rsidRPr="00DE1463">
        <w:rPr>
          <w:lang w:val="en-GB"/>
        </w:rPr>
        <w:t>Law no. 326</w:t>
      </w:r>
      <w:r w:rsidR="00C82FDF">
        <w:rPr>
          <w:lang w:val="en-GB"/>
        </w:rPr>
        <w:t xml:space="preserve">/03) </w:t>
      </w:r>
      <w:r w:rsidR="00DE1463" w:rsidRPr="00DE1463">
        <w:rPr>
          <w:lang w:val="en-GB"/>
        </w:rPr>
        <w:t xml:space="preserve">was enacted (see </w:t>
      </w:r>
      <w:r w:rsidR="009A553F">
        <w:rPr>
          <w:lang w:val="en-GB"/>
        </w:rPr>
        <w:t>“</w:t>
      </w:r>
      <w:r w:rsidR="00DE1463" w:rsidRPr="00DE1463">
        <w:rPr>
          <w:lang w:val="en-GB"/>
        </w:rPr>
        <w:t>Relevant domestic law</w:t>
      </w:r>
      <w:r w:rsidR="009A553F">
        <w:rPr>
          <w:lang w:val="en-GB"/>
        </w:rPr>
        <w:t>” below</w:t>
      </w:r>
      <w:r w:rsidR="00DE1463" w:rsidRPr="00DE1463">
        <w:rPr>
          <w:lang w:val="en-GB"/>
        </w:rPr>
        <w:t>)</w:t>
      </w:r>
      <w:r w:rsidR="00C414A0">
        <w:rPr>
          <w:lang w:val="en-GB"/>
        </w:rPr>
        <w:t>,</w:t>
      </w:r>
      <w:r w:rsidR="00556772">
        <w:rPr>
          <w:lang w:val="en-GB"/>
        </w:rPr>
        <w:t xml:space="preserve"> </w:t>
      </w:r>
      <w:r w:rsidR="00C414A0">
        <w:rPr>
          <w:lang w:val="en-GB"/>
        </w:rPr>
        <w:t>provid</w:t>
      </w:r>
      <w:r w:rsidR="00556772">
        <w:rPr>
          <w:lang w:val="en-GB"/>
        </w:rPr>
        <w:t>ing that the benefits could not be accumulated</w:t>
      </w:r>
      <w:r w:rsidR="00DE1463" w:rsidRPr="00DE1463">
        <w:rPr>
          <w:lang w:val="en-GB"/>
        </w:rPr>
        <w:t>.</w:t>
      </w:r>
    </w:p>
    <w:p w:rsidR="00632A2E" w:rsidRDefault="00556772" w:rsidP="009B0194">
      <w:pPr>
        <w:pStyle w:val="ECHRPara"/>
        <w:rPr>
          <w:lang w:val="en-GB"/>
        </w:rPr>
      </w:pPr>
      <w:r>
        <w:rPr>
          <w:lang w:val="en-GB"/>
        </w:rPr>
        <w:fldChar w:fldCharType="begin"/>
      </w:r>
      <w:r>
        <w:rPr>
          <w:lang w:val="en-GB"/>
        </w:rPr>
        <w:instrText xml:space="preserve"> SEQ level0 \*arabic </w:instrText>
      </w:r>
      <w:r>
        <w:rPr>
          <w:lang w:val="en-GB"/>
        </w:rPr>
        <w:fldChar w:fldCharType="separate"/>
      </w:r>
      <w:r w:rsidR="00D471CA">
        <w:rPr>
          <w:noProof/>
          <w:lang w:val="en-GB"/>
        </w:rPr>
        <w:t>15</w:t>
      </w:r>
      <w:r>
        <w:rPr>
          <w:lang w:val="en-GB"/>
        </w:rPr>
        <w:fldChar w:fldCharType="end"/>
      </w:r>
      <w:r>
        <w:rPr>
          <w:lang w:val="en-GB"/>
        </w:rPr>
        <w:t>.  </w:t>
      </w:r>
      <w:r w:rsidR="00DE1463" w:rsidRPr="00DE1463">
        <w:rPr>
          <w:lang w:val="en-GB"/>
        </w:rPr>
        <w:t xml:space="preserve">By judgment no. 274 of 7 July 2006 the Constitutional Court considered that </w:t>
      </w:r>
      <w:r w:rsidR="00C82FDF">
        <w:rPr>
          <w:lang w:val="en-GB"/>
        </w:rPr>
        <w:t xml:space="preserve">Law no. 326/03 </w:t>
      </w:r>
      <w:r w:rsidR="009A553F">
        <w:rPr>
          <w:lang w:val="en-GB"/>
        </w:rPr>
        <w:t>was</w:t>
      </w:r>
      <w:r w:rsidR="00DE1463" w:rsidRPr="00DE1463">
        <w:rPr>
          <w:lang w:val="en-GB"/>
        </w:rPr>
        <w:t xml:space="preserve"> legitimate and not unconstitutional (see </w:t>
      </w:r>
      <w:r w:rsidR="00C414A0">
        <w:rPr>
          <w:lang w:val="en-GB"/>
        </w:rPr>
        <w:t>“</w:t>
      </w:r>
      <w:r w:rsidR="00DE1463" w:rsidRPr="00DE1463">
        <w:rPr>
          <w:lang w:val="en-GB"/>
        </w:rPr>
        <w:t>Relevant domestic law and practice</w:t>
      </w:r>
      <w:r w:rsidR="00C414A0">
        <w:rPr>
          <w:lang w:val="en-GB"/>
        </w:rPr>
        <w:t>” below</w:t>
      </w:r>
      <w:r w:rsidR="00DE1463" w:rsidRPr="00DE1463">
        <w:rPr>
          <w:lang w:val="en-GB"/>
        </w:rPr>
        <w:t>).</w:t>
      </w:r>
    </w:p>
    <w:p w:rsidR="00DE1463" w:rsidRPr="00784828" w:rsidRDefault="00784828" w:rsidP="009B0194">
      <w:pPr>
        <w:pStyle w:val="ECHRHeading2"/>
        <w:rPr>
          <w:lang w:val="en-GB"/>
        </w:rPr>
      </w:pPr>
      <w:r w:rsidRPr="00784828">
        <w:rPr>
          <w:lang w:val="en-GB"/>
        </w:rPr>
        <w:t>B</w:t>
      </w:r>
      <w:r w:rsidR="009B0194">
        <w:rPr>
          <w:lang w:val="en-GB"/>
        </w:rPr>
        <w:t>.  </w:t>
      </w:r>
      <w:r w:rsidR="00DE1463" w:rsidRPr="00784828">
        <w:rPr>
          <w:lang w:val="en-GB"/>
        </w:rPr>
        <w:t>The domestic proceedings</w:t>
      </w:r>
      <w:r w:rsidR="00A82AC4" w:rsidRPr="00A82AC4">
        <w:rPr>
          <w:lang w:val="en-GB"/>
        </w:rPr>
        <w:t xml:space="preserve"> </w:t>
      </w:r>
      <w:r w:rsidR="00A82AC4">
        <w:rPr>
          <w:lang w:val="en-GB"/>
        </w:rPr>
        <w:t xml:space="preserve">instituted by the </w:t>
      </w:r>
      <w:r w:rsidR="00A82AC4" w:rsidRPr="00784828">
        <w:rPr>
          <w:lang w:val="en-GB"/>
        </w:rPr>
        <w:t>applicant companies</w:t>
      </w:r>
    </w:p>
    <w:p w:rsidR="00DE1463" w:rsidRPr="00C3216D" w:rsidRDefault="00784828" w:rsidP="009B0194">
      <w:pPr>
        <w:pStyle w:val="ECHRHeading3"/>
        <w:rPr>
          <w:lang w:val="it-IT"/>
        </w:rPr>
      </w:pPr>
      <w:r w:rsidRPr="00C3216D">
        <w:rPr>
          <w:lang w:val="it-IT"/>
        </w:rPr>
        <w:t>1.</w:t>
      </w:r>
      <w:r w:rsidR="009B0194">
        <w:rPr>
          <w:lang w:val="it-IT"/>
        </w:rPr>
        <w:t>  </w:t>
      </w:r>
      <w:r w:rsidR="00DE1463" w:rsidRPr="00C3216D">
        <w:rPr>
          <w:lang w:val="it-IT"/>
        </w:rPr>
        <w:t>Azienda Agricol</w:t>
      </w:r>
      <w:r w:rsidR="000B0BB7" w:rsidRPr="00C3216D">
        <w:rPr>
          <w:lang w:val="it-IT"/>
        </w:rPr>
        <w:t>a</w:t>
      </w:r>
      <w:r w:rsidR="00DE1463" w:rsidRPr="00C3216D">
        <w:rPr>
          <w:lang w:val="it-IT"/>
        </w:rPr>
        <w:t xml:space="preserve"> Silverfunghi S</w:t>
      </w:r>
      <w:r w:rsidR="000B0BB7" w:rsidRPr="00C3216D">
        <w:rPr>
          <w:lang w:val="it-IT"/>
        </w:rPr>
        <w:t>.</w:t>
      </w:r>
      <w:r w:rsidR="00CE464B">
        <w:rPr>
          <w:lang w:val="it-IT"/>
        </w:rPr>
        <w:t>a</w:t>
      </w:r>
      <w:r w:rsidR="000B0BB7" w:rsidRPr="00C3216D">
        <w:rPr>
          <w:lang w:val="it-IT"/>
        </w:rPr>
        <w:t>.</w:t>
      </w:r>
      <w:r w:rsidR="00CE464B">
        <w:rPr>
          <w:lang w:val="it-IT"/>
        </w:rPr>
        <w:t>s</w:t>
      </w:r>
    </w:p>
    <w:p w:rsidR="00DE1463" w:rsidRPr="00DE1463" w:rsidRDefault="00784828" w:rsidP="009B0194">
      <w:pPr>
        <w:pStyle w:val="ECHRPara"/>
        <w:rPr>
          <w:lang w:val="en-GB"/>
        </w:rPr>
      </w:pPr>
      <w:r>
        <w:rPr>
          <w:lang w:val="en-GB"/>
        </w:rPr>
        <w:fldChar w:fldCharType="begin"/>
      </w:r>
      <w:r>
        <w:rPr>
          <w:lang w:val="en-GB"/>
        </w:rPr>
        <w:instrText xml:space="preserve"> SEQ level0 \*arabic </w:instrText>
      </w:r>
      <w:r>
        <w:rPr>
          <w:lang w:val="en-GB"/>
        </w:rPr>
        <w:fldChar w:fldCharType="separate"/>
      </w:r>
      <w:r w:rsidR="00D471CA">
        <w:rPr>
          <w:noProof/>
          <w:lang w:val="en-GB"/>
        </w:rPr>
        <w:t>16</w:t>
      </w:r>
      <w:r>
        <w:rPr>
          <w:lang w:val="en-GB"/>
        </w:rPr>
        <w:fldChar w:fldCharType="end"/>
      </w:r>
      <w:r>
        <w:rPr>
          <w:lang w:val="en-GB"/>
        </w:rPr>
        <w:t>.  </w:t>
      </w:r>
      <w:r w:rsidR="00DE1463" w:rsidRPr="00DE1463">
        <w:rPr>
          <w:lang w:val="en-GB"/>
        </w:rPr>
        <w:t xml:space="preserve">On 7 November 2000 the applicant company requested the INPS to return the monies which it had held contrary to what was provided for by law when it failed to apply the concession in its respect, for the period between 1 April 1990 and 31 December 1997, amounting to 173,738,951 Italian lire (approximately EUR 90,000) plus interest and </w:t>
      </w:r>
      <w:r w:rsidR="009A553F">
        <w:rPr>
          <w:lang w:val="en-GB"/>
        </w:rPr>
        <w:t xml:space="preserve">subject to </w:t>
      </w:r>
      <w:r w:rsidR="00DE1463" w:rsidRPr="00DE1463">
        <w:rPr>
          <w:lang w:val="en-GB"/>
        </w:rPr>
        <w:t>revaluation.</w:t>
      </w:r>
    </w:p>
    <w:p w:rsidR="00632A2E" w:rsidRDefault="00784828" w:rsidP="009B0194">
      <w:pPr>
        <w:pStyle w:val="ECHRPara"/>
        <w:rPr>
          <w:lang w:val="en-GB"/>
        </w:rPr>
      </w:pPr>
      <w:r>
        <w:rPr>
          <w:lang w:val="en-GB"/>
        </w:rPr>
        <w:fldChar w:fldCharType="begin"/>
      </w:r>
      <w:r>
        <w:rPr>
          <w:lang w:val="en-GB"/>
        </w:rPr>
        <w:instrText xml:space="preserve"> SEQ level0 \*arabic </w:instrText>
      </w:r>
      <w:r>
        <w:rPr>
          <w:lang w:val="en-GB"/>
        </w:rPr>
        <w:fldChar w:fldCharType="separate"/>
      </w:r>
      <w:r w:rsidR="00D471CA">
        <w:rPr>
          <w:noProof/>
          <w:lang w:val="en-GB"/>
        </w:rPr>
        <w:t>17</w:t>
      </w:r>
      <w:r>
        <w:rPr>
          <w:lang w:val="en-GB"/>
        </w:rPr>
        <w:fldChar w:fldCharType="end"/>
      </w:r>
      <w:r>
        <w:rPr>
          <w:lang w:val="en-GB"/>
        </w:rPr>
        <w:t>.  </w:t>
      </w:r>
      <w:r w:rsidR="00DE1463" w:rsidRPr="00DE1463">
        <w:rPr>
          <w:lang w:val="en-GB"/>
        </w:rPr>
        <w:t>The INPS</w:t>
      </w:r>
      <w:r w:rsidR="00864D90">
        <w:rPr>
          <w:lang w:val="en-GB"/>
        </w:rPr>
        <w:t>’</w:t>
      </w:r>
      <w:r w:rsidR="00DE1463" w:rsidRPr="00DE1463">
        <w:rPr>
          <w:lang w:val="en-GB"/>
        </w:rPr>
        <w:t>s failure to reply amounting to an implicit rejection (</w:t>
      </w:r>
      <w:r w:rsidR="00DE1463" w:rsidRPr="00DE1463">
        <w:rPr>
          <w:i/>
          <w:lang w:val="en-GB"/>
        </w:rPr>
        <w:t>silenzio-rifiuto</w:t>
      </w:r>
      <w:r w:rsidR="00DE1463" w:rsidRPr="00DE1463">
        <w:rPr>
          <w:lang w:val="en-GB"/>
        </w:rPr>
        <w:t xml:space="preserve">), on 26 June 2001 the applicant company instituted an administrative procedure </w:t>
      </w:r>
      <w:r w:rsidR="00A60E91">
        <w:rPr>
          <w:lang w:val="en-GB"/>
        </w:rPr>
        <w:t>before</w:t>
      </w:r>
      <w:r w:rsidR="00DE1463" w:rsidRPr="00DE1463">
        <w:rPr>
          <w:lang w:val="en-GB"/>
        </w:rPr>
        <w:t xml:space="preserve"> the INPS. The latter again failed to reply.</w:t>
      </w:r>
    </w:p>
    <w:p w:rsidR="00DE1463" w:rsidRPr="00DE1463" w:rsidRDefault="00784828" w:rsidP="009B0194">
      <w:pPr>
        <w:pStyle w:val="ECHRPara"/>
        <w:rPr>
          <w:lang w:val="en-GB"/>
        </w:rPr>
      </w:pPr>
      <w:r>
        <w:rPr>
          <w:lang w:val="en-GB"/>
        </w:rPr>
        <w:fldChar w:fldCharType="begin"/>
      </w:r>
      <w:r>
        <w:rPr>
          <w:lang w:val="en-GB"/>
        </w:rPr>
        <w:instrText xml:space="preserve"> SEQ level0 \*arabic </w:instrText>
      </w:r>
      <w:r>
        <w:rPr>
          <w:lang w:val="en-GB"/>
        </w:rPr>
        <w:fldChar w:fldCharType="separate"/>
      </w:r>
      <w:r w:rsidR="00D471CA">
        <w:rPr>
          <w:noProof/>
          <w:lang w:val="en-GB"/>
        </w:rPr>
        <w:t>18</w:t>
      </w:r>
      <w:r>
        <w:rPr>
          <w:lang w:val="en-GB"/>
        </w:rPr>
        <w:fldChar w:fldCharType="end"/>
      </w:r>
      <w:r>
        <w:rPr>
          <w:lang w:val="en-GB"/>
        </w:rPr>
        <w:t>.  </w:t>
      </w:r>
      <w:r w:rsidR="00DE1463" w:rsidRPr="00DE1463">
        <w:rPr>
          <w:lang w:val="en-GB"/>
        </w:rPr>
        <w:t>Thus, on 4 January 2002 the applicant company instituted judicial proceedings to recover the monies due (as mentioned above) for the period not covered by prescription</w:t>
      </w:r>
      <w:r w:rsidR="006436B4">
        <w:rPr>
          <w:lang w:val="en-GB"/>
        </w:rPr>
        <w:t xml:space="preserve"> (2000 onwards).</w:t>
      </w:r>
    </w:p>
    <w:p w:rsidR="00DE1463" w:rsidRPr="00DE1463" w:rsidRDefault="00784828" w:rsidP="009B0194">
      <w:pPr>
        <w:pStyle w:val="ECHRPara"/>
        <w:rPr>
          <w:lang w:val="en-GB"/>
        </w:rPr>
      </w:pPr>
      <w:r>
        <w:rPr>
          <w:lang w:val="en-GB"/>
        </w:rPr>
        <w:fldChar w:fldCharType="begin"/>
      </w:r>
      <w:r>
        <w:rPr>
          <w:lang w:val="en-GB"/>
        </w:rPr>
        <w:instrText xml:space="preserve"> SEQ level0 \*arabic </w:instrText>
      </w:r>
      <w:r>
        <w:rPr>
          <w:lang w:val="en-GB"/>
        </w:rPr>
        <w:fldChar w:fldCharType="separate"/>
      </w:r>
      <w:r w:rsidR="00D471CA">
        <w:rPr>
          <w:noProof/>
          <w:lang w:val="en-GB"/>
        </w:rPr>
        <w:t>19</w:t>
      </w:r>
      <w:r>
        <w:rPr>
          <w:lang w:val="en-GB"/>
        </w:rPr>
        <w:fldChar w:fldCharType="end"/>
      </w:r>
      <w:r>
        <w:rPr>
          <w:lang w:val="en-GB"/>
        </w:rPr>
        <w:t>.  </w:t>
      </w:r>
      <w:r w:rsidR="00DE1463" w:rsidRPr="00DE1463">
        <w:rPr>
          <w:lang w:val="en-GB"/>
        </w:rPr>
        <w:t xml:space="preserve">By a judgment (no. 56/2003) of 13 February 2003 the Bergamo Tribunal found in favour of the applicant company. Considering that the two benefits could be </w:t>
      </w:r>
      <w:r w:rsidR="005F4E38">
        <w:rPr>
          <w:lang w:val="en-GB"/>
        </w:rPr>
        <w:t>accumulated</w:t>
      </w:r>
      <w:r w:rsidR="00DE1463" w:rsidRPr="00DE1463">
        <w:rPr>
          <w:lang w:val="en-GB"/>
        </w:rPr>
        <w:t xml:space="preserve"> and that the applicant</w:t>
      </w:r>
      <w:r w:rsidR="009A553F">
        <w:rPr>
          <w:lang w:val="en-GB"/>
        </w:rPr>
        <w:t xml:space="preserve"> company</w:t>
      </w:r>
      <w:r w:rsidR="00DE1463" w:rsidRPr="00DE1463">
        <w:rPr>
          <w:lang w:val="en-GB"/>
        </w:rPr>
        <w:t xml:space="preserve"> had paid the relevant dues, it ordered the INPS to pay back the misappropriated sums</w:t>
      </w:r>
      <w:r w:rsidR="006436B4">
        <w:rPr>
          <w:lang w:val="en-GB"/>
        </w:rPr>
        <w:t xml:space="preserve"> (from 2000 onwards)</w:t>
      </w:r>
      <w:r w:rsidR="00DE1463" w:rsidRPr="00DE1463">
        <w:rPr>
          <w:lang w:val="en-GB"/>
        </w:rPr>
        <w:t xml:space="preserve">, with interest and </w:t>
      </w:r>
      <w:r w:rsidR="009A553F">
        <w:rPr>
          <w:lang w:val="en-GB"/>
        </w:rPr>
        <w:t xml:space="preserve">subject to </w:t>
      </w:r>
      <w:r w:rsidR="00DE1463" w:rsidRPr="00DE1463">
        <w:rPr>
          <w:lang w:val="en-GB"/>
        </w:rPr>
        <w:t xml:space="preserve">revaluation, </w:t>
      </w:r>
      <w:r w:rsidR="009A553F">
        <w:rPr>
          <w:lang w:val="en-GB"/>
        </w:rPr>
        <w:t>and to pay</w:t>
      </w:r>
      <w:r w:rsidR="00DE1463" w:rsidRPr="00DE1463">
        <w:rPr>
          <w:lang w:val="en-GB"/>
        </w:rPr>
        <w:t xml:space="preserve"> </w:t>
      </w:r>
      <w:r w:rsidR="006436B4">
        <w:rPr>
          <w:lang w:val="en-GB"/>
        </w:rPr>
        <w:t>its</w:t>
      </w:r>
      <w:r w:rsidR="00DE1463" w:rsidRPr="00DE1463">
        <w:rPr>
          <w:lang w:val="en-GB"/>
        </w:rPr>
        <w:t xml:space="preserve"> </w:t>
      </w:r>
      <w:r w:rsidR="000B0BB7">
        <w:rPr>
          <w:lang w:val="en-GB"/>
        </w:rPr>
        <w:t xml:space="preserve">share of the </w:t>
      </w:r>
      <w:r w:rsidR="00DE1463" w:rsidRPr="00DE1463">
        <w:rPr>
          <w:lang w:val="en-GB"/>
        </w:rPr>
        <w:t>costs of the proceedings.</w:t>
      </w:r>
    </w:p>
    <w:p w:rsidR="00800320" w:rsidRDefault="00784828" w:rsidP="009B0194">
      <w:pPr>
        <w:pStyle w:val="ECHRPara"/>
        <w:rPr>
          <w:lang w:val="en-GB"/>
        </w:rPr>
      </w:pPr>
      <w:r>
        <w:rPr>
          <w:lang w:val="en-GB"/>
        </w:rPr>
        <w:fldChar w:fldCharType="begin"/>
      </w:r>
      <w:r>
        <w:rPr>
          <w:lang w:val="en-GB"/>
        </w:rPr>
        <w:instrText xml:space="preserve"> SEQ level0 \*arabic </w:instrText>
      </w:r>
      <w:r>
        <w:rPr>
          <w:lang w:val="en-GB"/>
        </w:rPr>
        <w:fldChar w:fldCharType="separate"/>
      </w:r>
      <w:r w:rsidR="00D471CA">
        <w:rPr>
          <w:noProof/>
          <w:lang w:val="en-GB"/>
        </w:rPr>
        <w:t>20</w:t>
      </w:r>
      <w:r>
        <w:rPr>
          <w:lang w:val="en-GB"/>
        </w:rPr>
        <w:fldChar w:fldCharType="end"/>
      </w:r>
      <w:r>
        <w:rPr>
          <w:lang w:val="en-GB"/>
        </w:rPr>
        <w:t>.  </w:t>
      </w:r>
      <w:r w:rsidR="00DE1463" w:rsidRPr="00DE1463">
        <w:rPr>
          <w:lang w:val="en-GB"/>
        </w:rPr>
        <w:t xml:space="preserve">By a judgment (no. 276/03) of 25 September 2003 filed in the relevant registry on 4 November 2003 the Brescia Court of Appeal </w:t>
      </w:r>
      <w:r w:rsidR="004F1ED2">
        <w:rPr>
          <w:lang w:val="en-GB"/>
        </w:rPr>
        <w:t>dismissed</w:t>
      </w:r>
      <w:r w:rsidR="004F1ED2" w:rsidRPr="00DE1463">
        <w:rPr>
          <w:lang w:val="en-GB"/>
        </w:rPr>
        <w:t xml:space="preserve"> </w:t>
      </w:r>
      <w:r w:rsidR="00DE1463" w:rsidRPr="00DE1463">
        <w:rPr>
          <w:lang w:val="en-GB"/>
        </w:rPr>
        <w:t>the INPS</w:t>
      </w:r>
      <w:r w:rsidR="00864D90">
        <w:rPr>
          <w:lang w:val="en-GB"/>
        </w:rPr>
        <w:t>’</w:t>
      </w:r>
      <w:r w:rsidR="00DE1463" w:rsidRPr="00DE1463">
        <w:rPr>
          <w:lang w:val="en-GB"/>
        </w:rPr>
        <w:t xml:space="preserve">s appeal and </w:t>
      </w:r>
      <w:r w:rsidR="004F1ED2">
        <w:rPr>
          <w:lang w:val="en-GB"/>
        </w:rPr>
        <w:t>upheld</w:t>
      </w:r>
      <w:r w:rsidR="004F1ED2" w:rsidRPr="00DE1463">
        <w:rPr>
          <w:lang w:val="en-GB"/>
        </w:rPr>
        <w:t xml:space="preserve"> </w:t>
      </w:r>
      <w:r w:rsidR="00DE1463" w:rsidRPr="00DE1463">
        <w:rPr>
          <w:lang w:val="en-GB"/>
        </w:rPr>
        <w:t>the first-instance judgment</w:t>
      </w:r>
      <w:r w:rsidR="00800320">
        <w:rPr>
          <w:lang w:val="en-GB"/>
        </w:rPr>
        <w:t>.</w:t>
      </w:r>
    </w:p>
    <w:p w:rsidR="00DE1463" w:rsidRPr="00DE1463" w:rsidRDefault="00784828" w:rsidP="009B0194">
      <w:pPr>
        <w:pStyle w:val="ECHRPara"/>
        <w:rPr>
          <w:lang w:val="en-GB"/>
        </w:rPr>
      </w:pPr>
      <w:r>
        <w:rPr>
          <w:lang w:val="en-GB"/>
        </w:rPr>
        <w:fldChar w:fldCharType="begin"/>
      </w:r>
      <w:r>
        <w:rPr>
          <w:lang w:val="en-GB"/>
        </w:rPr>
        <w:instrText xml:space="preserve"> SEQ level0 \*arabic </w:instrText>
      </w:r>
      <w:r>
        <w:rPr>
          <w:lang w:val="en-GB"/>
        </w:rPr>
        <w:fldChar w:fldCharType="separate"/>
      </w:r>
      <w:r w:rsidR="00D471CA">
        <w:rPr>
          <w:noProof/>
          <w:lang w:val="en-GB"/>
        </w:rPr>
        <w:t>21</w:t>
      </w:r>
      <w:r>
        <w:rPr>
          <w:lang w:val="en-GB"/>
        </w:rPr>
        <w:fldChar w:fldCharType="end"/>
      </w:r>
      <w:r>
        <w:rPr>
          <w:lang w:val="en-GB"/>
        </w:rPr>
        <w:t>.  </w:t>
      </w:r>
      <w:r w:rsidR="00DE1463" w:rsidRPr="00DE1463">
        <w:rPr>
          <w:lang w:val="en-GB"/>
        </w:rPr>
        <w:t xml:space="preserve">Following the </w:t>
      </w:r>
      <w:r w:rsidR="00C82FDF">
        <w:rPr>
          <w:lang w:val="en-GB"/>
        </w:rPr>
        <w:t>entry into force of Law no. 326/</w:t>
      </w:r>
      <w:r w:rsidR="00DE1463" w:rsidRPr="00DE1463">
        <w:rPr>
          <w:lang w:val="en-GB"/>
        </w:rPr>
        <w:t>03 the INPS appealed to the Court of Cassation.</w:t>
      </w:r>
    </w:p>
    <w:p w:rsidR="00DE1463" w:rsidRPr="00DE1463" w:rsidRDefault="00784828" w:rsidP="009B0194">
      <w:pPr>
        <w:pStyle w:val="ECHRPara"/>
        <w:rPr>
          <w:lang w:val="en-GB"/>
        </w:rPr>
      </w:pPr>
      <w:r>
        <w:rPr>
          <w:lang w:val="en-GB"/>
        </w:rPr>
        <w:fldChar w:fldCharType="begin"/>
      </w:r>
      <w:r>
        <w:rPr>
          <w:lang w:val="en-GB"/>
        </w:rPr>
        <w:instrText xml:space="preserve"> SEQ level0 \*arabic </w:instrText>
      </w:r>
      <w:r>
        <w:rPr>
          <w:lang w:val="en-GB"/>
        </w:rPr>
        <w:fldChar w:fldCharType="separate"/>
      </w:r>
      <w:r w:rsidR="00D471CA">
        <w:rPr>
          <w:noProof/>
          <w:lang w:val="en-GB"/>
        </w:rPr>
        <w:t>22</w:t>
      </w:r>
      <w:r>
        <w:rPr>
          <w:lang w:val="en-GB"/>
        </w:rPr>
        <w:fldChar w:fldCharType="end"/>
      </w:r>
      <w:r>
        <w:rPr>
          <w:lang w:val="en-GB"/>
        </w:rPr>
        <w:t>.  </w:t>
      </w:r>
      <w:r w:rsidR="00DE1463" w:rsidRPr="00DE1463">
        <w:rPr>
          <w:lang w:val="en-GB"/>
        </w:rPr>
        <w:t xml:space="preserve">The applicant company cross-appealed, arguing that the application of Law no. 326 of 24 November 2003 to its case would amount to a violation of Article 6 of the Convention and a violation of the Italian Constitution in so far as it obliged the State to abide by the European Convention, a matter which had not been considered </w:t>
      </w:r>
      <w:r w:rsidR="000B0BB7">
        <w:rPr>
          <w:lang w:val="en-GB"/>
        </w:rPr>
        <w:t xml:space="preserve">at all </w:t>
      </w:r>
      <w:r w:rsidR="00DE1463" w:rsidRPr="00DE1463">
        <w:rPr>
          <w:lang w:val="en-GB"/>
        </w:rPr>
        <w:t>by the Constitutional Court in its judgment of 7 July 2006.</w:t>
      </w:r>
    </w:p>
    <w:p w:rsidR="00DE1463" w:rsidRPr="00DE1463" w:rsidRDefault="00784828" w:rsidP="009B0194">
      <w:pPr>
        <w:pStyle w:val="ECHRPara"/>
        <w:rPr>
          <w:lang w:val="en-GB"/>
        </w:rPr>
      </w:pPr>
      <w:r>
        <w:rPr>
          <w:lang w:val="en-GB"/>
        </w:rPr>
        <w:fldChar w:fldCharType="begin"/>
      </w:r>
      <w:r>
        <w:rPr>
          <w:lang w:val="en-GB"/>
        </w:rPr>
        <w:instrText xml:space="preserve"> SEQ level0 \*arabic </w:instrText>
      </w:r>
      <w:r>
        <w:rPr>
          <w:lang w:val="en-GB"/>
        </w:rPr>
        <w:fldChar w:fldCharType="separate"/>
      </w:r>
      <w:r w:rsidR="00D471CA">
        <w:rPr>
          <w:noProof/>
          <w:lang w:val="en-GB"/>
        </w:rPr>
        <w:t>23</w:t>
      </w:r>
      <w:r>
        <w:rPr>
          <w:lang w:val="en-GB"/>
        </w:rPr>
        <w:fldChar w:fldCharType="end"/>
      </w:r>
      <w:r>
        <w:rPr>
          <w:lang w:val="en-GB"/>
        </w:rPr>
        <w:t>.  </w:t>
      </w:r>
      <w:r w:rsidR="00DE1463" w:rsidRPr="00DE1463">
        <w:rPr>
          <w:lang w:val="en-GB"/>
        </w:rPr>
        <w:t>By a judgment (no. 10110/07) filed in the relevant registry on 2 May 2007 the INPS</w:t>
      </w:r>
      <w:r w:rsidR="00864D90">
        <w:rPr>
          <w:lang w:val="en-GB"/>
        </w:rPr>
        <w:t>’</w:t>
      </w:r>
      <w:r w:rsidR="00DE1463" w:rsidRPr="00DE1463">
        <w:rPr>
          <w:lang w:val="en-GB"/>
        </w:rPr>
        <w:t xml:space="preserve">s appeal was </w:t>
      </w:r>
      <w:r w:rsidR="001A781E">
        <w:rPr>
          <w:lang w:val="en-GB"/>
        </w:rPr>
        <w:t>allowed</w:t>
      </w:r>
      <w:r w:rsidR="001A781E" w:rsidRPr="00DE1463">
        <w:rPr>
          <w:lang w:val="en-GB"/>
        </w:rPr>
        <w:t xml:space="preserve"> </w:t>
      </w:r>
      <w:r w:rsidR="00DE1463" w:rsidRPr="00DE1463">
        <w:rPr>
          <w:lang w:val="en-GB"/>
        </w:rPr>
        <w:t>by the Court of Cassat</w:t>
      </w:r>
      <w:r w:rsidR="00C82FDF">
        <w:rPr>
          <w:lang w:val="en-GB"/>
        </w:rPr>
        <w:t>ion on the basis of Law no. 326/</w:t>
      </w:r>
      <w:r w:rsidR="00DE1463" w:rsidRPr="00DE1463">
        <w:rPr>
          <w:lang w:val="en-GB"/>
        </w:rPr>
        <w:t xml:space="preserve">03. The remaining grounds of appeal were </w:t>
      </w:r>
      <w:r w:rsidR="004F1ED2">
        <w:rPr>
          <w:lang w:val="en-GB"/>
        </w:rPr>
        <w:t>dismissed</w:t>
      </w:r>
      <w:r w:rsidR="004F1ED2" w:rsidRPr="00DE1463">
        <w:rPr>
          <w:lang w:val="en-GB"/>
        </w:rPr>
        <w:t xml:space="preserve"> </w:t>
      </w:r>
      <w:r w:rsidR="00DE1463" w:rsidRPr="00DE1463">
        <w:rPr>
          <w:lang w:val="en-GB"/>
        </w:rPr>
        <w:t>on the basis that Law no. 326</w:t>
      </w:r>
      <w:r w:rsidR="00C82FDF">
        <w:rPr>
          <w:lang w:val="en-GB"/>
        </w:rPr>
        <w:t>/03</w:t>
      </w:r>
      <w:r w:rsidR="00DE1463" w:rsidRPr="00DE1463">
        <w:rPr>
          <w:lang w:val="en-GB"/>
        </w:rPr>
        <w:t xml:space="preserve"> had an authentic interpretative nature </w:t>
      </w:r>
      <w:r w:rsidR="00F719A9">
        <w:rPr>
          <w:lang w:val="en-GB"/>
        </w:rPr>
        <w:t xml:space="preserve">and </w:t>
      </w:r>
      <w:r w:rsidR="000B0BB7">
        <w:rPr>
          <w:lang w:val="en-GB"/>
        </w:rPr>
        <w:t xml:space="preserve">was </w:t>
      </w:r>
      <w:r w:rsidR="00F719A9">
        <w:rPr>
          <w:lang w:val="en-GB"/>
        </w:rPr>
        <w:t xml:space="preserve">therefore only apparently retroactive, it having now been given the original intended meaning of the law. Indeed, as a thorough examination of the relevant laws </w:t>
      </w:r>
      <w:r w:rsidR="004F1ED2">
        <w:rPr>
          <w:lang w:val="en-GB"/>
        </w:rPr>
        <w:t xml:space="preserve">revealed, </w:t>
      </w:r>
      <w:r w:rsidR="00F719A9">
        <w:rPr>
          <w:lang w:val="en-GB"/>
        </w:rPr>
        <w:t>the benefits at issue could not be awarded cumulatively</w:t>
      </w:r>
      <w:r w:rsidR="004F1ED2">
        <w:rPr>
          <w:lang w:val="en-GB"/>
        </w:rPr>
        <w:t>; rather,</w:t>
      </w:r>
      <w:r w:rsidR="00F719A9">
        <w:rPr>
          <w:lang w:val="en-GB"/>
        </w:rPr>
        <w:t xml:space="preserve"> one had to identify the most favourable benefits to a firm according to its specific position. Furthermore,</w:t>
      </w:r>
      <w:r w:rsidR="00DE1463" w:rsidRPr="00DE1463">
        <w:rPr>
          <w:lang w:val="en-GB"/>
        </w:rPr>
        <w:t xml:space="preserve"> the State had legitimate discretion to decide whether benefits could be granted cumulatively or not, thus no issue relat</w:t>
      </w:r>
      <w:r w:rsidR="00C414A0">
        <w:rPr>
          <w:lang w:val="en-GB"/>
        </w:rPr>
        <w:t>ing</w:t>
      </w:r>
      <w:r w:rsidR="00DE1463" w:rsidRPr="00DE1463">
        <w:rPr>
          <w:lang w:val="en-GB"/>
        </w:rPr>
        <w:t xml:space="preserve"> to a fair trial</w:t>
      </w:r>
      <w:r w:rsidR="000B0BB7">
        <w:rPr>
          <w:lang w:val="en-GB"/>
        </w:rPr>
        <w:t xml:space="preserve"> could be considered to arise</w:t>
      </w:r>
      <w:r w:rsidR="00DE1463" w:rsidRPr="00DE1463">
        <w:rPr>
          <w:lang w:val="en-GB"/>
        </w:rPr>
        <w:t>.</w:t>
      </w:r>
      <w:r w:rsidR="006436B4">
        <w:rPr>
          <w:lang w:val="en-GB"/>
        </w:rPr>
        <w:t xml:space="preserve"> Each party was to bear its own cost</w:t>
      </w:r>
      <w:r w:rsidR="00053AB4">
        <w:rPr>
          <w:lang w:val="en-GB"/>
        </w:rPr>
        <w:t>s</w:t>
      </w:r>
      <w:r w:rsidR="004B10EF" w:rsidRPr="004B10EF">
        <w:rPr>
          <w:lang w:val="en-GB"/>
        </w:rPr>
        <w:t xml:space="preserve"> </w:t>
      </w:r>
      <w:r w:rsidR="00053AB4">
        <w:rPr>
          <w:lang w:val="en-GB"/>
        </w:rPr>
        <w:t xml:space="preserve">for </w:t>
      </w:r>
      <w:r w:rsidR="004B10EF">
        <w:rPr>
          <w:lang w:val="en-GB"/>
        </w:rPr>
        <w:t>the entire proceedings</w:t>
      </w:r>
      <w:r w:rsidR="006436B4">
        <w:rPr>
          <w:lang w:val="en-GB"/>
        </w:rPr>
        <w:t>.</w:t>
      </w:r>
    </w:p>
    <w:p w:rsidR="00F2358D" w:rsidRDefault="00784828" w:rsidP="009B0194">
      <w:pPr>
        <w:pStyle w:val="ECHRHeading3"/>
        <w:rPr>
          <w:lang w:val="en-GB"/>
        </w:rPr>
      </w:pPr>
      <w:r w:rsidRPr="00784828">
        <w:rPr>
          <w:lang w:val="en-GB"/>
        </w:rPr>
        <w:t>2.</w:t>
      </w:r>
      <w:r w:rsidR="009B0194">
        <w:rPr>
          <w:lang w:val="en-GB"/>
        </w:rPr>
        <w:t>  </w:t>
      </w:r>
      <w:r w:rsidR="00DE1463" w:rsidRPr="00784828">
        <w:rPr>
          <w:lang w:val="en-GB"/>
        </w:rPr>
        <w:t xml:space="preserve">Scarpellini </w:t>
      </w:r>
      <w:r w:rsidR="00606E4B">
        <w:rPr>
          <w:lang w:val="en-GB"/>
        </w:rPr>
        <w:t>S</w:t>
      </w:r>
      <w:r w:rsidR="00DE1463" w:rsidRPr="00784828">
        <w:rPr>
          <w:lang w:val="en-GB"/>
        </w:rPr>
        <w:t>.r.l</w:t>
      </w:r>
    </w:p>
    <w:p w:rsidR="00DE1463" w:rsidRPr="00DE1463" w:rsidRDefault="00784828" w:rsidP="009B0194">
      <w:pPr>
        <w:pStyle w:val="ECHRPara"/>
        <w:rPr>
          <w:lang w:val="en-GB"/>
        </w:rPr>
      </w:pPr>
      <w:r>
        <w:rPr>
          <w:lang w:val="en-GB"/>
        </w:rPr>
        <w:fldChar w:fldCharType="begin"/>
      </w:r>
      <w:r>
        <w:rPr>
          <w:lang w:val="en-GB"/>
        </w:rPr>
        <w:instrText xml:space="preserve"> SEQ level0 \*arabic </w:instrText>
      </w:r>
      <w:r>
        <w:rPr>
          <w:lang w:val="en-GB"/>
        </w:rPr>
        <w:fldChar w:fldCharType="separate"/>
      </w:r>
      <w:r w:rsidR="00D471CA">
        <w:rPr>
          <w:noProof/>
          <w:lang w:val="en-GB"/>
        </w:rPr>
        <w:t>24</w:t>
      </w:r>
      <w:r>
        <w:rPr>
          <w:lang w:val="en-GB"/>
        </w:rPr>
        <w:fldChar w:fldCharType="end"/>
      </w:r>
      <w:r>
        <w:rPr>
          <w:lang w:val="en-GB"/>
        </w:rPr>
        <w:t>.  </w:t>
      </w:r>
      <w:r w:rsidR="00DE1463" w:rsidRPr="00DE1463">
        <w:rPr>
          <w:lang w:val="en-GB"/>
        </w:rPr>
        <w:t xml:space="preserve">On 9 July 2001 and again on 29 January 2002 the applicant company requested the INPS to return the monies which it had </w:t>
      </w:r>
      <w:r w:rsidR="00C414A0">
        <w:rPr>
          <w:lang w:val="en-GB"/>
        </w:rPr>
        <w:t>wit</w:t>
      </w:r>
      <w:r w:rsidR="00DE1463" w:rsidRPr="00DE1463">
        <w:rPr>
          <w:lang w:val="en-GB"/>
        </w:rPr>
        <w:t>held contrary to what was provided for by law when it failed to apply the concession in its respect, for the period between 1 April 1990 and 31 December 1997, amounting to 413,928,856 Italian lire (approximately EUR 213,776) plus interest and</w:t>
      </w:r>
      <w:r w:rsidR="004C5FA7">
        <w:rPr>
          <w:lang w:val="en-GB"/>
        </w:rPr>
        <w:t xml:space="preserve"> </w:t>
      </w:r>
      <w:r w:rsidR="000B0BB7">
        <w:rPr>
          <w:lang w:val="en-GB"/>
        </w:rPr>
        <w:t>subject to r</w:t>
      </w:r>
      <w:r w:rsidR="00DE1463" w:rsidRPr="00DE1463">
        <w:rPr>
          <w:lang w:val="en-GB"/>
        </w:rPr>
        <w:t>evaluation.</w:t>
      </w:r>
    </w:p>
    <w:p w:rsidR="00632A2E" w:rsidRDefault="00784828" w:rsidP="009B0194">
      <w:pPr>
        <w:pStyle w:val="ECHRPara"/>
        <w:rPr>
          <w:lang w:val="en-GB"/>
        </w:rPr>
      </w:pPr>
      <w:r>
        <w:rPr>
          <w:lang w:val="en-GB"/>
        </w:rPr>
        <w:fldChar w:fldCharType="begin"/>
      </w:r>
      <w:r>
        <w:rPr>
          <w:lang w:val="en-GB"/>
        </w:rPr>
        <w:instrText xml:space="preserve"> SEQ level0 \*arabic </w:instrText>
      </w:r>
      <w:r>
        <w:rPr>
          <w:lang w:val="en-GB"/>
        </w:rPr>
        <w:fldChar w:fldCharType="separate"/>
      </w:r>
      <w:r w:rsidR="00D471CA">
        <w:rPr>
          <w:noProof/>
          <w:lang w:val="en-GB"/>
        </w:rPr>
        <w:t>25</w:t>
      </w:r>
      <w:r>
        <w:rPr>
          <w:lang w:val="en-GB"/>
        </w:rPr>
        <w:fldChar w:fldCharType="end"/>
      </w:r>
      <w:r>
        <w:rPr>
          <w:lang w:val="en-GB"/>
        </w:rPr>
        <w:t>.  </w:t>
      </w:r>
      <w:r w:rsidR="00DE1463" w:rsidRPr="00DE1463">
        <w:rPr>
          <w:lang w:val="en-GB"/>
        </w:rPr>
        <w:t>The INPS</w:t>
      </w:r>
      <w:r w:rsidR="00864D90">
        <w:rPr>
          <w:lang w:val="en-GB"/>
        </w:rPr>
        <w:t>’</w:t>
      </w:r>
      <w:r w:rsidR="00DE1463" w:rsidRPr="00DE1463">
        <w:rPr>
          <w:lang w:val="en-GB"/>
        </w:rPr>
        <w:t>s failure to reply amounting to an implicit rejection (</w:t>
      </w:r>
      <w:r w:rsidR="00DE1463" w:rsidRPr="00DE1463">
        <w:rPr>
          <w:i/>
          <w:lang w:val="en-GB"/>
        </w:rPr>
        <w:t>silenzio-rifiuto</w:t>
      </w:r>
      <w:r w:rsidR="00DE1463" w:rsidRPr="00DE1463">
        <w:rPr>
          <w:lang w:val="en-GB"/>
        </w:rPr>
        <w:t xml:space="preserve">), on 7 June 2002 the applicant company instituted an administrative procedure </w:t>
      </w:r>
      <w:r w:rsidR="00A60E91">
        <w:rPr>
          <w:lang w:val="en-GB"/>
        </w:rPr>
        <w:t>before</w:t>
      </w:r>
      <w:r w:rsidR="00DE1463" w:rsidRPr="00DE1463">
        <w:rPr>
          <w:lang w:val="en-GB"/>
        </w:rPr>
        <w:t xml:space="preserve"> the INPS. The latter again failed to reply.</w:t>
      </w:r>
    </w:p>
    <w:p w:rsidR="00632A2E" w:rsidRDefault="00784828" w:rsidP="009B0194">
      <w:pPr>
        <w:pStyle w:val="ECHRPara"/>
        <w:rPr>
          <w:lang w:val="en-GB"/>
        </w:rPr>
      </w:pPr>
      <w:r>
        <w:rPr>
          <w:lang w:val="en-GB"/>
        </w:rPr>
        <w:fldChar w:fldCharType="begin"/>
      </w:r>
      <w:r>
        <w:rPr>
          <w:lang w:val="en-GB"/>
        </w:rPr>
        <w:instrText xml:space="preserve"> SEQ level0 \*arabic </w:instrText>
      </w:r>
      <w:r>
        <w:rPr>
          <w:lang w:val="en-GB"/>
        </w:rPr>
        <w:fldChar w:fldCharType="separate"/>
      </w:r>
      <w:r w:rsidR="00D471CA">
        <w:rPr>
          <w:noProof/>
          <w:lang w:val="en-GB"/>
        </w:rPr>
        <w:t>26</w:t>
      </w:r>
      <w:r>
        <w:rPr>
          <w:lang w:val="en-GB"/>
        </w:rPr>
        <w:fldChar w:fldCharType="end"/>
      </w:r>
      <w:r>
        <w:rPr>
          <w:lang w:val="en-GB"/>
        </w:rPr>
        <w:t>.  </w:t>
      </w:r>
      <w:r w:rsidR="00DE1463" w:rsidRPr="00DE1463">
        <w:rPr>
          <w:lang w:val="en-GB"/>
        </w:rPr>
        <w:t>Thus, on 11 June 2002 the applicant company instituted judicial proceedings to recover the monies due (as mentioned above) for the period not covered by prescription.</w:t>
      </w:r>
    </w:p>
    <w:p w:rsidR="00DE1463" w:rsidRPr="00DE1463" w:rsidRDefault="00784828" w:rsidP="009B0194">
      <w:pPr>
        <w:pStyle w:val="ECHRPara"/>
        <w:rPr>
          <w:lang w:val="en-GB"/>
        </w:rPr>
      </w:pPr>
      <w:r>
        <w:rPr>
          <w:lang w:val="en-GB"/>
        </w:rPr>
        <w:fldChar w:fldCharType="begin"/>
      </w:r>
      <w:r>
        <w:rPr>
          <w:lang w:val="en-GB"/>
        </w:rPr>
        <w:instrText xml:space="preserve"> SEQ level0 \*arabic </w:instrText>
      </w:r>
      <w:r>
        <w:rPr>
          <w:lang w:val="en-GB"/>
        </w:rPr>
        <w:fldChar w:fldCharType="separate"/>
      </w:r>
      <w:r w:rsidR="00D471CA">
        <w:rPr>
          <w:noProof/>
          <w:lang w:val="en-GB"/>
        </w:rPr>
        <w:t>27</w:t>
      </w:r>
      <w:r>
        <w:rPr>
          <w:lang w:val="en-GB"/>
        </w:rPr>
        <w:fldChar w:fldCharType="end"/>
      </w:r>
      <w:r>
        <w:rPr>
          <w:lang w:val="en-GB"/>
        </w:rPr>
        <w:t>.  </w:t>
      </w:r>
      <w:r w:rsidR="00DE1463" w:rsidRPr="00DE1463">
        <w:rPr>
          <w:lang w:val="en-GB"/>
        </w:rPr>
        <w:t xml:space="preserve">By a judgment (no. 58/2003) of 13 February 2003 the Bergamo Tribunal found in favour of the applicant company. </w:t>
      </w:r>
      <w:r w:rsidR="00CA640F">
        <w:rPr>
          <w:lang w:val="en-GB"/>
        </w:rPr>
        <w:t>Holding</w:t>
      </w:r>
      <w:r w:rsidR="00CA640F" w:rsidRPr="00DE1463">
        <w:rPr>
          <w:lang w:val="en-GB"/>
        </w:rPr>
        <w:t xml:space="preserve"> </w:t>
      </w:r>
      <w:r w:rsidR="00DE1463" w:rsidRPr="00DE1463">
        <w:rPr>
          <w:lang w:val="en-GB"/>
        </w:rPr>
        <w:t xml:space="preserve">that the two benefits could be </w:t>
      </w:r>
      <w:r w:rsidR="005F4E38">
        <w:rPr>
          <w:lang w:val="en-GB"/>
        </w:rPr>
        <w:t>accumulated</w:t>
      </w:r>
      <w:r w:rsidR="00DE1463" w:rsidRPr="00DE1463">
        <w:rPr>
          <w:lang w:val="en-GB"/>
        </w:rPr>
        <w:t xml:space="preserve"> and that the applicant had paid the relevant dues, it ordered the INPS to pay back the misappropriated sums</w:t>
      </w:r>
      <w:r w:rsidR="00436194">
        <w:rPr>
          <w:lang w:val="en-GB"/>
        </w:rPr>
        <w:t xml:space="preserve"> (from 2001 onwards, </w:t>
      </w:r>
      <w:r w:rsidR="00053AB4">
        <w:rPr>
          <w:lang w:val="en-GB"/>
        </w:rPr>
        <w:t xml:space="preserve">the </w:t>
      </w:r>
      <w:r w:rsidR="00436194">
        <w:rPr>
          <w:lang w:val="en-GB"/>
        </w:rPr>
        <w:t xml:space="preserve">date </w:t>
      </w:r>
      <w:r w:rsidR="00053AB4">
        <w:rPr>
          <w:lang w:val="en-GB"/>
        </w:rPr>
        <w:t xml:space="preserve">on which </w:t>
      </w:r>
      <w:r w:rsidR="00436194">
        <w:rPr>
          <w:lang w:val="en-GB"/>
        </w:rPr>
        <w:t>prescription was interrupted)</w:t>
      </w:r>
      <w:r w:rsidR="00DE1463" w:rsidRPr="00DE1463">
        <w:rPr>
          <w:lang w:val="en-GB"/>
        </w:rPr>
        <w:t xml:space="preserve">, with interest and </w:t>
      </w:r>
      <w:r w:rsidR="00CA640F">
        <w:rPr>
          <w:lang w:val="en-GB"/>
        </w:rPr>
        <w:t>subject to r</w:t>
      </w:r>
      <w:r w:rsidR="00DE1463" w:rsidRPr="00DE1463">
        <w:rPr>
          <w:lang w:val="en-GB"/>
        </w:rPr>
        <w:t xml:space="preserve">evaluation, </w:t>
      </w:r>
      <w:r w:rsidR="009A553F">
        <w:rPr>
          <w:lang w:val="en-GB"/>
        </w:rPr>
        <w:t>and to pay</w:t>
      </w:r>
      <w:r w:rsidR="00DE1463" w:rsidRPr="00DE1463">
        <w:rPr>
          <w:lang w:val="en-GB"/>
        </w:rPr>
        <w:t xml:space="preserve"> </w:t>
      </w:r>
      <w:r w:rsidR="004B10EF">
        <w:rPr>
          <w:lang w:val="en-GB"/>
        </w:rPr>
        <w:t>its</w:t>
      </w:r>
      <w:r w:rsidR="00DE1463" w:rsidRPr="00DE1463">
        <w:rPr>
          <w:lang w:val="en-GB"/>
        </w:rPr>
        <w:t xml:space="preserve"> </w:t>
      </w:r>
      <w:r w:rsidR="00CA640F">
        <w:rPr>
          <w:lang w:val="en-GB"/>
        </w:rPr>
        <w:t xml:space="preserve">share of the </w:t>
      </w:r>
      <w:r w:rsidR="00DE1463" w:rsidRPr="00DE1463">
        <w:rPr>
          <w:lang w:val="en-GB"/>
        </w:rPr>
        <w:t>costs of the proceedings.</w:t>
      </w:r>
    </w:p>
    <w:p w:rsidR="00632A2E" w:rsidRDefault="00784828" w:rsidP="009B0194">
      <w:pPr>
        <w:pStyle w:val="ECHRPara"/>
        <w:rPr>
          <w:lang w:val="en-GB"/>
        </w:rPr>
      </w:pPr>
      <w:r>
        <w:rPr>
          <w:lang w:val="en-GB"/>
        </w:rPr>
        <w:fldChar w:fldCharType="begin"/>
      </w:r>
      <w:r>
        <w:rPr>
          <w:lang w:val="en-GB"/>
        </w:rPr>
        <w:instrText xml:space="preserve"> SEQ level0 \*arabic </w:instrText>
      </w:r>
      <w:r>
        <w:rPr>
          <w:lang w:val="en-GB"/>
        </w:rPr>
        <w:fldChar w:fldCharType="separate"/>
      </w:r>
      <w:r w:rsidR="00D471CA">
        <w:rPr>
          <w:noProof/>
          <w:lang w:val="en-GB"/>
        </w:rPr>
        <w:t>28</w:t>
      </w:r>
      <w:r>
        <w:rPr>
          <w:lang w:val="en-GB"/>
        </w:rPr>
        <w:fldChar w:fldCharType="end"/>
      </w:r>
      <w:r>
        <w:rPr>
          <w:lang w:val="en-GB"/>
        </w:rPr>
        <w:t>.  </w:t>
      </w:r>
      <w:r w:rsidR="00DE1463" w:rsidRPr="00DE1463">
        <w:rPr>
          <w:lang w:val="en-GB"/>
        </w:rPr>
        <w:t xml:space="preserve">By a judgment (no. 277/03) of 25 September 2003 filed in the relevant registry on 4 November 2003 the Brescia Court of Appeal </w:t>
      </w:r>
      <w:r w:rsidR="00BA1093">
        <w:rPr>
          <w:lang w:val="en-GB"/>
        </w:rPr>
        <w:t>dismissed</w:t>
      </w:r>
      <w:r w:rsidR="00BA1093" w:rsidRPr="00DE1463">
        <w:rPr>
          <w:lang w:val="en-GB"/>
        </w:rPr>
        <w:t xml:space="preserve"> </w:t>
      </w:r>
      <w:r w:rsidR="00DE1463" w:rsidRPr="00DE1463">
        <w:rPr>
          <w:lang w:val="en-GB"/>
        </w:rPr>
        <w:t>the INPS</w:t>
      </w:r>
      <w:r w:rsidR="00864D90">
        <w:rPr>
          <w:lang w:val="en-GB"/>
        </w:rPr>
        <w:t>’</w:t>
      </w:r>
      <w:r w:rsidR="00DE1463" w:rsidRPr="00DE1463">
        <w:rPr>
          <w:lang w:val="en-GB"/>
        </w:rPr>
        <w:t xml:space="preserve">s appeal and </w:t>
      </w:r>
      <w:r w:rsidR="00BA1093">
        <w:rPr>
          <w:lang w:val="en-GB"/>
        </w:rPr>
        <w:t>upheld</w:t>
      </w:r>
      <w:r w:rsidR="00BA1093" w:rsidRPr="00DE1463">
        <w:rPr>
          <w:lang w:val="en-GB"/>
        </w:rPr>
        <w:t xml:space="preserve"> </w:t>
      </w:r>
      <w:r w:rsidR="00DE1463" w:rsidRPr="00DE1463">
        <w:rPr>
          <w:lang w:val="en-GB"/>
        </w:rPr>
        <w:t>the first-instance judgment.</w:t>
      </w:r>
    </w:p>
    <w:p w:rsidR="00632A2E" w:rsidRDefault="00784828" w:rsidP="009B0194">
      <w:pPr>
        <w:pStyle w:val="ECHRPara"/>
        <w:rPr>
          <w:lang w:val="en-GB"/>
        </w:rPr>
      </w:pPr>
      <w:r>
        <w:rPr>
          <w:lang w:val="en-GB"/>
        </w:rPr>
        <w:fldChar w:fldCharType="begin"/>
      </w:r>
      <w:r>
        <w:rPr>
          <w:lang w:val="en-GB"/>
        </w:rPr>
        <w:instrText xml:space="preserve"> SEQ level0 \*arabic </w:instrText>
      </w:r>
      <w:r>
        <w:rPr>
          <w:lang w:val="en-GB"/>
        </w:rPr>
        <w:fldChar w:fldCharType="separate"/>
      </w:r>
      <w:r w:rsidR="00D471CA">
        <w:rPr>
          <w:noProof/>
          <w:lang w:val="en-GB"/>
        </w:rPr>
        <w:t>29</w:t>
      </w:r>
      <w:r>
        <w:rPr>
          <w:lang w:val="en-GB"/>
        </w:rPr>
        <w:fldChar w:fldCharType="end"/>
      </w:r>
      <w:r>
        <w:rPr>
          <w:lang w:val="en-GB"/>
        </w:rPr>
        <w:t>.  </w:t>
      </w:r>
      <w:r w:rsidR="00DE1463" w:rsidRPr="00DE1463">
        <w:rPr>
          <w:lang w:val="en-GB"/>
        </w:rPr>
        <w:t>Following the entry into force of Law no. 326 of 24 November 2003 the INPS appealed to the Court of Cassation.</w:t>
      </w:r>
    </w:p>
    <w:p w:rsidR="00DE1463" w:rsidRPr="00DE1463" w:rsidRDefault="00784828" w:rsidP="009B0194">
      <w:pPr>
        <w:pStyle w:val="ECHRPara"/>
        <w:rPr>
          <w:lang w:val="en-GB"/>
        </w:rPr>
      </w:pPr>
      <w:r>
        <w:rPr>
          <w:lang w:val="en-GB"/>
        </w:rPr>
        <w:fldChar w:fldCharType="begin"/>
      </w:r>
      <w:r>
        <w:rPr>
          <w:lang w:val="en-GB"/>
        </w:rPr>
        <w:instrText xml:space="preserve"> SEQ level0 \*arabic </w:instrText>
      </w:r>
      <w:r>
        <w:rPr>
          <w:lang w:val="en-GB"/>
        </w:rPr>
        <w:fldChar w:fldCharType="separate"/>
      </w:r>
      <w:r w:rsidR="00D471CA">
        <w:rPr>
          <w:noProof/>
          <w:lang w:val="en-GB"/>
        </w:rPr>
        <w:t>30</w:t>
      </w:r>
      <w:r>
        <w:rPr>
          <w:lang w:val="en-GB"/>
        </w:rPr>
        <w:fldChar w:fldCharType="end"/>
      </w:r>
      <w:r>
        <w:rPr>
          <w:lang w:val="en-GB"/>
        </w:rPr>
        <w:t>.  </w:t>
      </w:r>
      <w:r w:rsidR="00DE1463" w:rsidRPr="00DE1463">
        <w:rPr>
          <w:lang w:val="en-GB"/>
        </w:rPr>
        <w:t xml:space="preserve">The applicant company cross-appealed </w:t>
      </w:r>
      <w:r w:rsidR="00BA1093">
        <w:rPr>
          <w:lang w:val="en-GB"/>
        </w:rPr>
        <w:t>along</w:t>
      </w:r>
      <w:r w:rsidR="00BA1093" w:rsidRPr="00DE1463">
        <w:rPr>
          <w:lang w:val="en-GB"/>
        </w:rPr>
        <w:t xml:space="preserve"> </w:t>
      </w:r>
      <w:r w:rsidR="00DE1463" w:rsidRPr="00DE1463">
        <w:rPr>
          <w:lang w:val="en-GB"/>
        </w:rPr>
        <w:t>the lines mentioned above.</w:t>
      </w:r>
    </w:p>
    <w:p w:rsidR="00DE1463" w:rsidRPr="00DE1463" w:rsidRDefault="00784828" w:rsidP="009B0194">
      <w:pPr>
        <w:pStyle w:val="ECHRPara"/>
        <w:rPr>
          <w:lang w:val="en-GB"/>
        </w:rPr>
      </w:pPr>
      <w:r>
        <w:rPr>
          <w:lang w:val="en-GB"/>
        </w:rPr>
        <w:fldChar w:fldCharType="begin"/>
      </w:r>
      <w:r>
        <w:rPr>
          <w:lang w:val="en-GB"/>
        </w:rPr>
        <w:instrText xml:space="preserve"> SEQ level0 \*arabic </w:instrText>
      </w:r>
      <w:r>
        <w:rPr>
          <w:lang w:val="en-GB"/>
        </w:rPr>
        <w:fldChar w:fldCharType="separate"/>
      </w:r>
      <w:r w:rsidR="00D471CA">
        <w:rPr>
          <w:noProof/>
          <w:lang w:val="en-GB"/>
        </w:rPr>
        <w:t>31</w:t>
      </w:r>
      <w:r>
        <w:rPr>
          <w:lang w:val="en-GB"/>
        </w:rPr>
        <w:fldChar w:fldCharType="end"/>
      </w:r>
      <w:r>
        <w:rPr>
          <w:lang w:val="en-GB"/>
        </w:rPr>
        <w:t>.  </w:t>
      </w:r>
      <w:r w:rsidR="00DE1463" w:rsidRPr="00DE1463">
        <w:rPr>
          <w:lang w:val="en-GB"/>
        </w:rPr>
        <w:t>By a judgment (no. 12863/07) filed in the relevant registry on 1 June 2007 the INPS</w:t>
      </w:r>
      <w:r w:rsidR="00864D90">
        <w:rPr>
          <w:lang w:val="en-GB"/>
        </w:rPr>
        <w:t>’</w:t>
      </w:r>
      <w:r w:rsidR="00DE1463" w:rsidRPr="00DE1463">
        <w:rPr>
          <w:lang w:val="en-GB"/>
        </w:rPr>
        <w:t xml:space="preserve">s appeal was </w:t>
      </w:r>
      <w:r w:rsidR="001A781E">
        <w:rPr>
          <w:lang w:val="en-GB"/>
        </w:rPr>
        <w:t>allowed</w:t>
      </w:r>
      <w:r w:rsidR="001A781E" w:rsidRPr="00DE1463">
        <w:rPr>
          <w:lang w:val="en-GB"/>
        </w:rPr>
        <w:t xml:space="preserve"> </w:t>
      </w:r>
      <w:r w:rsidR="00DE1463" w:rsidRPr="00DE1463">
        <w:rPr>
          <w:lang w:val="en-GB"/>
        </w:rPr>
        <w:t xml:space="preserve">by the Court of Cassation on the basis of Law no. 326 of 24 November 2003. The remaining grounds of appeal were </w:t>
      </w:r>
      <w:r w:rsidR="00BA1093">
        <w:rPr>
          <w:lang w:val="en-GB"/>
        </w:rPr>
        <w:t>dismissed</w:t>
      </w:r>
      <w:r w:rsidR="00BA1093" w:rsidRPr="00DE1463">
        <w:rPr>
          <w:lang w:val="en-GB"/>
        </w:rPr>
        <w:t xml:space="preserve"> </w:t>
      </w:r>
      <w:r w:rsidR="00DE1463" w:rsidRPr="00DE1463">
        <w:rPr>
          <w:lang w:val="en-GB"/>
        </w:rPr>
        <w:t xml:space="preserve">for the same reasons </w:t>
      </w:r>
      <w:r w:rsidR="00BA1093">
        <w:rPr>
          <w:lang w:val="en-GB"/>
        </w:rPr>
        <w:t>outlined</w:t>
      </w:r>
      <w:r w:rsidR="00DE1463" w:rsidRPr="00DE1463">
        <w:rPr>
          <w:lang w:val="en-GB"/>
        </w:rPr>
        <w:t xml:space="preserve"> above.</w:t>
      </w:r>
      <w:r w:rsidR="004B10EF" w:rsidRPr="004B10EF">
        <w:rPr>
          <w:lang w:val="en-GB"/>
        </w:rPr>
        <w:t xml:space="preserve"> </w:t>
      </w:r>
      <w:r w:rsidR="004B10EF">
        <w:rPr>
          <w:lang w:val="en-GB"/>
        </w:rPr>
        <w:t>Each party was to bear its own cost</w:t>
      </w:r>
      <w:r w:rsidR="00BA1093">
        <w:rPr>
          <w:lang w:val="en-GB"/>
        </w:rPr>
        <w:t>s</w:t>
      </w:r>
      <w:r w:rsidR="004B10EF">
        <w:rPr>
          <w:lang w:val="en-GB"/>
        </w:rPr>
        <w:t xml:space="preserve"> </w:t>
      </w:r>
      <w:r w:rsidR="00BA1093">
        <w:rPr>
          <w:lang w:val="en-GB"/>
        </w:rPr>
        <w:t xml:space="preserve">for </w:t>
      </w:r>
      <w:r w:rsidR="004B10EF">
        <w:rPr>
          <w:lang w:val="en-GB"/>
        </w:rPr>
        <w:t>the entire proceedings.</w:t>
      </w:r>
    </w:p>
    <w:p w:rsidR="00632A2E" w:rsidRDefault="00784828" w:rsidP="009B0194">
      <w:pPr>
        <w:pStyle w:val="ECHRHeading3"/>
        <w:rPr>
          <w:lang w:val="it-IT"/>
        </w:rPr>
      </w:pPr>
      <w:r w:rsidRPr="00784828">
        <w:rPr>
          <w:lang w:val="it-IT"/>
        </w:rPr>
        <w:t>3.</w:t>
      </w:r>
      <w:r w:rsidR="009B0194">
        <w:rPr>
          <w:lang w:val="it-IT"/>
        </w:rPr>
        <w:t>  </w:t>
      </w:r>
      <w:r w:rsidR="00DE1463" w:rsidRPr="00784828">
        <w:rPr>
          <w:lang w:val="it-IT"/>
        </w:rPr>
        <w:t xml:space="preserve">SAP Pietrafitta </w:t>
      </w:r>
      <w:r w:rsidR="00606E4B">
        <w:rPr>
          <w:lang w:val="it-IT"/>
        </w:rPr>
        <w:t>S</w:t>
      </w:r>
      <w:r w:rsidR="00DE1463" w:rsidRPr="00784828">
        <w:rPr>
          <w:lang w:val="it-IT"/>
        </w:rPr>
        <w:t>.r.l.</w:t>
      </w:r>
    </w:p>
    <w:p w:rsidR="00DE1463" w:rsidRPr="00DE1463" w:rsidRDefault="00784828" w:rsidP="009B0194">
      <w:pPr>
        <w:pStyle w:val="ECHRPara"/>
        <w:rPr>
          <w:lang w:val="en-GB"/>
        </w:rPr>
      </w:pPr>
      <w:r>
        <w:rPr>
          <w:lang w:val="en-GB"/>
        </w:rPr>
        <w:fldChar w:fldCharType="begin"/>
      </w:r>
      <w:r>
        <w:rPr>
          <w:lang w:val="en-GB"/>
        </w:rPr>
        <w:instrText xml:space="preserve"> SEQ level0 \*arabic </w:instrText>
      </w:r>
      <w:r>
        <w:rPr>
          <w:lang w:val="en-GB"/>
        </w:rPr>
        <w:fldChar w:fldCharType="separate"/>
      </w:r>
      <w:r w:rsidR="00D471CA">
        <w:rPr>
          <w:noProof/>
          <w:lang w:val="en-GB"/>
        </w:rPr>
        <w:t>32</w:t>
      </w:r>
      <w:r>
        <w:rPr>
          <w:lang w:val="en-GB"/>
        </w:rPr>
        <w:fldChar w:fldCharType="end"/>
      </w:r>
      <w:r>
        <w:rPr>
          <w:lang w:val="en-GB"/>
        </w:rPr>
        <w:t>.  </w:t>
      </w:r>
      <w:r w:rsidR="00DE1463" w:rsidRPr="00DE1463">
        <w:rPr>
          <w:lang w:val="en-GB"/>
        </w:rPr>
        <w:t xml:space="preserve">On 14 and 30 July 1999 the applicant company requested the INPS to return the monies which it had </w:t>
      </w:r>
      <w:r w:rsidR="00C414A0">
        <w:rPr>
          <w:lang w:val="en-GB"/>
        </w:rPr>
        <w:t>with</w:t>
      </w:r>
      <w:r w:rsidR="00DE1463" w:rsidRPr="00DE1463">
        <w:rPr>
          <w:lang w:val="en-GB"/>
        </w:rPr>
        <w:t>held contrary to what was provided for by law when it failed to apply the concession in its respect, for the period between 1 January 1989 and 31 December 1997, amounting to 210,609,000 Italian lire (approximately EUR 108,770) plus interest and</w:t>
      </w:r>
      <w:r w:rsidR="00CA640F">
        <w:rPr>
          <w:lang w:val="en-GB"/>
        </w:rPr>
        <w:t xml:space="preserve"> subject to</w:t>
      </w:r>
      <w:r w:rsidR="00DE1463" w:rsidRPr="00DE1463">
        <w:rPr>
          <w:lang w:val="en-GB"/>
        </w:rPr>
        <w:t xml:space="preserve"> </w:t>
      </w:r>
      <w:r w:rsidR="00CA640F">
        <w:rPr>
          <w:lang w:val="en-GB"/>
        </w:rPr>
        <w:t>r</w:t>
      </w:r>
      <w:r w:rsidR="00DE1463" w:rsidRPr="00DE1463">
        <w:rPr>
          <w:lang w:val="en-GB"/>
        </w:rPr>
        <w:t>evaluation.</w:t>
      </w:r>
    </w:p>
    <w:p w:rsidR="00632A2E" w:rsidRDefault="00784828" w:rsidP="009B0194">
      <w:pPr>
        <w:pStyle w:val="ECHRPara"/>
        <w:rPr>
          <w:lang w:val="en-GB"/>
        </w:rPr>
      </w:pPr>
      <w:r>
        <w:rPr>
          <w:lang w:val="en-GB"/>
        </w:rPr>
        <w:fldChar w:fldCharType="begin"/>
      </w:r>
      <w:r>
        <w:rPr>
          <w:lang w:val="en-GB"/>
        </w:rPr>
        <w:instrText xml:space="preserve"> SEQ level0 \*arabic </w:instrText>
      </w:r>
      <w:r>
        <w:rPr>
          <w:lang w:val="en-GB"/>
        </w:rPr>
        <w:fldChar w:fldCharType="separate"/>
      </w:r>
      <w:r w:rsidR="00D471CA">
        <w:rPr>
          <w:noProof/>
          <w:lang w:val="en-GB"/>
        </w:rPr>
        <w:t>33</w:t>
      </w:r>
      <w:r>
        <w:rPr>
          <w:lang w:val="en-GB"/>
        </w:rPr>
        <w:fldChar w:fldCharType="end"/>
      </w:r>
      <w:r>
        <w:rPr>
          <w:lang w:val="en-GB"/>
        </w:rPr>
        <w:t>.  </w:t>
      </w:r>
      <w:r w:rsidR="00DE1463" w:rsidRPr="00DE1463">
        <w:rPr>
          <w:lang w:val="en-GB"/>
        </w:rPr>
        <w:t>The INPS failed to reply.</w:t>
      </w:r>
    </w:p>
    <w:p w:rsidR="00632A2E" w:rsidRDefault="00784828" w:rsidP="009B0194">
      <w:pPr>
        <w:pStyle w:val="ECHRPara"/>
        <w:rPr>
          <w:lang w:val="en-GB"/>
        </w:rPr>
      </w:pPr>
      <w:r>
        <w:rPr>
          <w:lang w:val="en-GB"/>
        </w:rPr>
        <w:fldChar w:fldCharType="begin"/>
      </w:r>
      <w:r>
        <w:rPr>
          <w:lang w:val="en-GB"/>
        </w:rPr>
        <w:instrText xml:space="preserve"> SEQ level0 \*arabic </w:instrText>
      </w:r>
      <w:r>
        <w:rPr>
          <w:lang w:val="en-GB"/>
        </w:rPr>
        <w:fldChar w:fldCharType="separate"/>
      </w:r>
      <w:r w:rsidR="00D471CA">
        <w:rPr>
          <w:noProof/>
          <w:lang w:val="en-GB"/>
        </w:rPr>
        <w:t>34</w:t>
      </w:r>
      <w:r>
        <w:rPr>
          <w:lang w:val="en-GB"/>
        </w:rPr>
        <w:fldChar w:fldCharType="end"/>
      </w:r>
      <w:r>
        <w:rPr>
          <w:lang w:val="en-GB"/>
        </w:rPr>
        <w:t>.  </w:t>
      </w:r>
      <w:r w:rsidR="00DE1463" w:rsidRPr="00DE1463">
        <w:rPr>
          <w:lang w:val="en-GB"/>
        </w:rPr>
        <w:t>Thus, on 25 January 2000 the applicant company instituted judicial proceedings to recover the monies due (as mentioned above) for the period not covered by prescription.</w:t>
      </w:r>
    </w:p>
    <w:p w:rsidR="00DE1463" w:rsidRPr="00DE1463" w:rsidRDefault="00784828" w:rsidP="009B0194">
      <w:pPr>
        <w:pStyle w:val="ECHRPara"/>
        <w:rPr>
          <w:lang w:val="en-GB"/>
        </w:rPr>
      </w:pPr>
      <w:r>
        <w:rPr>
          <w:lang w:val="en-GB"/>
        </w:rPr>
        <w:fldChar w:fldCharType="begin"/>
      </w:r>
      <w:r>
        <w:rPr>
          <w:lang w:val="en-GB"/>
        </w:rPr>
        <w:instrText xml:space="preserve"> SEQ level0 \*arabic </w:instrText>
      </w:r>
      <w:r>
        <w:rPr>
          <w:lang w:val="en-GB"/>
        </w:rPr>
        <w:fldChar w:fldCharType="separate"/>
      </w:r>
      <w:r w:rsidR="00D471CA">
        <w:rPr>
          <w:noProof/>
          <w:lang w:val="en-GB"/>
        </w:rPr>
        <w:t>35</w:t>
      </w:r>
      <w:r>
        <w:rPr>
          <w:lang w:val="en-GB"/>
        </w:rPr>
        <w:fldChar w:fldCharType="end"/>
      </w:r>
      <w:r>
        <w:rPr>
          <w:lang w:val="en-GB"/>
        </w:rPr>
        <w:t>.  </w:t>
      </w:r>
      <w:r w:rsidR="00DE1463" w:rsidRPr="00DE1463">
        <w:rPr>
          <w:lang w:val="en-GB"/>
        </w:rPr>
        <w:t>By a judgment (no.</w:t>
      </w:r>
      <w:r>
        <w:rPr>
          <w:lang w:val="en-GB"/>
        </w:rPr>
        <w:t xml:space="preserve"> </w:t>
      </w:r>
      <w:r w:rsidR="00DE1463" w:rsidRPr="00DE1463">
        <w:rPr>
          <w:lang w:val="en-GB"/>
        </w:rPr>
        <w:t xml:space="preserve">8/2001) of 3 April 2001 the Siena Tribunal found in favour of the applicant company. Considering that the two benefits could be </w:t>
      </w:r>
      <w:r w:rsidR="005F4E38">
        <w:rPr>
          <w:lang w:val="en-GB"/>
        </w:rPr>
        <w:t>accumulated</w:t>
      </w:r>
      <w:r w:rsidR="00DE1463" w:rsidRPr="00DE1463">
        <w:rPr>
          <w:lang w:val="en-GB"/>
        </w:rPr>
        <w:t xml:space="preserve"> and that the applicant had paid the relevant dues, it ordered the INPS to pay back the misappropriated sums, with interest and revaluation</w:t>
      </w:r>
      <w:r w:rsidR="005D78E0">
        <w:rPr>
          <w:lang w:val="en-GB"/>
        </w:rPr>
        <w:t xml:space="preserve"> (</w:t>
      </w:r>
      <w:r w:rsidR="0046428E">
        <w:rPr>
          <w:lang w:val="en-GB"/>
        </w:rPr>
        <w:t xml:space="preserve">from </w:t>
      </w:r>
      <w:r w:rsidR="005D78E0">
        <w:rPr>
          <w:lang w:val="en-GB"/>
        </w:rPr>
        <w:t>1999</w:t>
      </w:r>
      <w:r w:rsidR="0046428E">
        <w:rPr>
          <w:lang w:val="en-GB"/>
        </w:rPr>
        <w:t>, the</w:t>
      </w:r>
      <w:r w:rsidR="005D78E0">
        <w:rPr>
          <w:lang w:val="en-GB"/>
        </w:rPr>
        <w:t xml:space="preserve"> date of </w:t>
      </w:r>
      <w:r w:rsidR="00C414A0">
        <w:rPr>
          <w:lang w:val="en-GB"/>
        </w:rPr>
        <w:t>i</w:t>
      </w:r>
      <w:r w:rsidR="005D78E0">
        <w:rPr>
          <w:lang w:val="en-GB"/>
        </w:rPr>
        <w:t>t</w:t>
      </w:r>
      <w:r w:rsidR="00C414A0">
        <w:rPr>
          <w:lang w:val="en-GB"/>
        </w:rPr>
        <w:t>s</w:t>
      </w:r>
      <w:r w:rsidR="005D78E0">
        <w:rPr>
          <w:lang w:val="en-GB"/>
        </w:rPr>
        <w:t xml:space="preserve"> administrative claim</w:t>
      </w:r>
      <w:r w:rsidR="0046428E">
        <w:rPr>
          <w:lang w:val="en-GB"/>
        </w:rPr>
        <w:t>, onwards</w:t>
      </w:r>
      <w:r w:rsidR="005D78E0">
        <w:rPr>
          <w:lang w:val="en-GB"/>
        </w:rPr>
        <w:t>)</w:t>
      </w:r>
      <w:r w:rsidR="00DE1463" w:rsidRPr="00DE1463">
        <w:rPr>
          <w:lang w:val="en-GB"/>
        </w:rPr>
        <w:t xml:space="preserve">, together with the </w:t>
      </w:r>
      <w:r w:rsidR="005D78E0">
        <w:rPr>
          <w:lang w:val="en-GB"/>
        </w:rPr>
        <w:t xml:space="preserve">full </w:t>
      </w:r>
      <w:r w:rsidR="00DE1463" w:rsidRPr="00DE1463">
        <w:rPr>
          <w:lang w:val="en-GB"/>
        </w:rPr>
        <w:t>costs of the proceedings.</w:t>
      </w:r>
    </w:p>
    <w:p w:rsidR="00632A2E" w:rsidRDefault="00784828" w:rsidP="009B0194">
      <w:pPr>
        <w:pStyle w:val="ECHRPara"/>
        <w:rPr>
          <w:lang w:val="en-GB"/>
        </w:rPr>
      </w:pPr>
      <w:r>
        <w:rPr>
          <w:lang w:val="en-GB"/>
        </w:rPr>
        <w:fldChar w:fldCharType="begin"/>
      </w:r>
      <w:r>
        <w:rPr>
          <w:lang w:val="en-GB"/>
        </w:rPr>
        <w:instrText xml:space="preserve"> SEQ level0 \*arabic </w:instrText>
      </w:r>
      <w:r>
        <w:rPr>
          <w:lang w:val="en-GB"/>
        </w:rPr>
        <w:fldChar w:fldCharType="separate"/>
      </w:r>
      <w:r w:rsidR="00D471CA">
        <w:rPr>
          <w:noProof/>
          <w:lang w:val="en-GB"/>
        </w:rPr>
        <w:t>36</w:t>
      </w:r>
      <w:r>
        <w:rPr>
          <w:lang w:val="en-GB"/>
        </w:rPr>
        <w:fldChar w:fldCharType="end"/>
      </w:r>
      <w:r>
        <w:rPr>
          <w:lang w:val="en-GB"/>
        </w:rPr>
        <w:t>.  </w:t>
      </w:r>
      <w:r w:rsidR="00DE1463" w:rsidRPr="00DE1463">
        <w:rPr>
          <w:lang w:val="en-GB"/>
        </w:rPr>
        <w:t xml:space="preserve">By a judgment (no. 249/02) of 16 April 2002 filed in the relevant registry on 24 April 2002 the Florence Court of Appeal </w:t>
      </w:r>
      <w:r w:rsidR="0046428E">
        <w:rPr>
          <w:lang w:val="en-GB"/>
        </w:rPr>
        <w:t>dismissed</w:t>
      </w:r>
      <w:r w:rsidR="0046428E" w:rsidRPr="00DE1463">
        <w:rPr>
          <w:lang w:val="en-GB"/>
        </w:rPr>
        <w:t xml:space="preserve"> </w:t>
      </w:r>
      <w:r w:rsidR="00DE1463" w:rsidRPr="00DE1463">
        <w:rPr>
          <w:lang w:val="en-GB"/>
        </w:rPr>
        <w:t>the INPS</w:t>
      </w:r>
      <w:r w:rsidR="00864D90">
        <w:rPr>
          <w:lang w:val="en-GB"/>
        </w:rPr>
        <w:t>’</w:t>
      </w:r>
      <w:r w:rsidR="00DE1463" w:rsidRPr="00DE1463">
        <w:rPr>
          <w:lang w:val="en-GB"/>
        </w:rPr>
        <w:t xml:space="preserve">s appeal and </w:t>
      </w:r>
      <w:r w:rsidR="0046428E">
        <w:rPr>
          <w:lang w:val="en-GB"/>
        </w:rPr>
        <w:t>upheld</w:t>
      </w:r>
      <w:r w:rsidR="0046428E" w:rsidRPr="00DE1463">
        <w:rPr>
          <w:lang w:val="en-GB"/>
        </w:rPr>
        <w:t xml:space="preserve"> </w:t>
      </w:r>
      <w:r w:rsidR="00DE1463" w:rsidRPr="00DE1463">
        <w:rPr>
          <w:lang w:val="en-GB"/>
        </w:rPr>
        <w:t>the first-instance judgment.</w:t>
      </w:r>
    </w:p>
    <w:p w:rsidR="00DE1463" w:rsidRPr="00DE1463" w:rsidRDefault="00784828" w:rsidP="009B0194">
      <w:pPr>
        <w:pStyle w:val="ECHRPara"/>
        <w:rPr>
          <w:lang w:val="en-GB"/>
        </w:rPr>
      </w:pPr>
      <w:r>
        <w:rPr>
          <w:lang w:val="en-GB"/>
        </w:rPr>
        <w:fldChar w:fldCharType="begin"/>
      </w:r>
      <w:r>
        <w:rPr>
          <w:lang w:val="en-GB"/>
        </w:rPr>
        <w:instrText xml:space="preserve"> SEQ level0 \*arabic </w:instrText>
      </w:r>
      <w:r>
        <w:rPr>
          <w:lang w:val="en-GB"/>
        </w:rPr>
        <w:fldChar w:fldCharType="separate"/>
      </w:r>
      <w:r w:rsidR="00D471CA">
        <w:rPr>
          <w:noProof/>
          <w:lang w:val="en-GB"/>
        </w:rPr>
        <w:t>37</w:t>
      </w:r>
      <w:r>
        <w:rPr>
          <w:lang w:val="en-GB"/>
        </w:rPr>
        <w:fldChar w:fldCharType="end"/>
      </w:r>
      <w:r>
        <w:rPr>
          <w:lang w:val="en-GB"/>
        </w:rPr>
        <w:t>.  </w:t>
      </w:r>
      <w:r w:rsidR="00DE1463" w:rsidRPr="00DE1463">
        <w:rPr>
          <w:lang w:val="en-GB"/>
        </w:rPr>
        <w:t>Following the entry into force of Law no. 326 of 24 November 2003 the INPS appealed to the Court of Cassation.</w:t>
      </w:r>
    </w:p>
    <w:p w:rsidR="00DE1463" w:rsidRPr="00DE1463" w:rsidRDefault="00784828" w:rsidP="009B0194">
      <w:pPr>
        <w:pStyle w:val="ECHRPara"/>
        <w:rPr>
          <w:lang w:val="en-GB"/>
        </w:rPr>
      </w:pPr>
      <w:r>
        <w:rPr>
          <w:lang w:val="en-GB"/>
        </w:rPr>
        <w:fldChar w:fldCharType="begin"/>
      </w:r>
      <w:r>
        <w:rPr>
          <w:lang w:val="en-GB"/>
        </w:rPr>
        <w:instrText xml:space="preserve"> SEQ level0 \*arabic </w:instrText>
      </w:r>
      <w:r>
        <w:rPr>
          <w:lang w:val="en-GB"/>
        </w:rPr>
        <w:fldChar w:fldCharType="separate"/>
      </w:r>
      <w:r w:rsidR="00D471CA">
        <w:rPr>
          <w:noProof/>
          <w:lang w:val="en-GB"/>
        </w:rPr>
        <w:t>38</w:t>
      </w:r>
      <w:r>
        <w:rPr>
          <w:lang w:val="en-GB"/>
        </w:rPr>
        <w:fldChar w:fldCharType="end"/>
      </w:r>
      <w:r>
        <w:rPr>
          <w:lang w:val="en-GB"/>
        </w:rPr>
        <w:t>.  </w:t>
      </w:r>
      <w:r w:rsidR="00DE1463" w:rsidRPr="00DE1463">
        <w:rPr>
          <w:lang w:val="en-GB"/>
        </w:rPr>
        <w:t xml:space="preserve">The applicant company cross-appealed </w:t>
      </w:r>
      <w:r w:rsidR="00293D15">
        <w:rPr>
          <w:lang w:val="en-GB"/>
        </w:rPr>
        <w:t>along</w:t>
      </w:r>
      <w:r w:rsidR="00293D15" w:rsidRPr="00DE1463">
        <w:rPr>
          <w:lang w:val="en-GB"/>
        </w:rPr>
        <w:t xml:space="preserve"> </w:t>
      </w:r>
      <w:r w:rsidR="00DE1463" w:rsidRPr="00DE1463">
        <w:rPr>
          <w:lang w:val="en-GB"/>
        </w:rPr>
        <w:t>the lines mentioned above.</w:t>
      </w:r>
    </w:p>
    <w:p w:rsidR="00DE1463" w:rsidRPr="00DE1463" w:rsidRDefault="00784828" w:rsidP="009B0194">
      <w:pPr>
        <w:pStyle w:val="ECHRPara"/>
        <w:rPr>
          <w:lang w:val="en-GB"/>
        </w:rPr>
      </w:pPr>
      <w:r>
        <w:rPr>
          <w:lang w:val="en-GB"/>
        </w:rPr>
        <w:fldChar w:fldCharType="begin"/>
      </w:r>
      <w:r>
        <w:rPr>
          <w:lang w:val="en-GB"/>
        </w:rPr>
        <w:instrText xml:space="preserve"> SEQ level0 \*arabic </w:instrText>
      </w:r>
      <w:r>
        <w:rPr>
          <w:lang w:val="en-GB"/>
        </w:rPr>
        <w:fldChar w:fldCharType="separate"/>
      </w:r>
      <w:r w:rsidR="00D471CA">
        <w:rPr>
          <w:noProof/>
          <w:lang w:val="en-GB"/>
        </w:rPr>
        <w:t>39</w:t>
      </w:r>
      <w:r>
        <w:rPr>
          <w:lang w:val="en-GB"/>
        </w:rPr>
        <w:fldChar w:fldCharType="end"/>
      </w:r>
      <w:r>
        <w:rPr>
          <w:lang w:val="en-GB"/>
        </w:rPr>
        <w:t>.  </w:t>
      </w:r>
      <w:r w:rsidR="00DE1463" w:rsidRPr="00DE1463">
        <w:rPr>
          <w:lang w:val="en-GB"/>
        </w:rPr>
        <w:t>By a judgment (no. 13291/07) filed in the relevant registry on 7 June 2007 the INPS</w:t>
      </w:r>
      <w:r w:rsidR="00864D90">
        <w:rPr>
          <w:lang w:val="en-GB"/>
        </w:rPr>
        <w:t>’</w:t>
      </w:r>
      <w:r w:rsidR="00DE1463" w:rsidRPr="00DE1463">
        <w:rPr>
          <w:lang w:val="en-GB"/>
        </w:rPr>
        <w:t xml:space="preserve">s appeal was </w:t>
      </w:r>
      <w:r w:rsidR="001A781E">
        <w:rPr>
          <w:lang w:val="en-GB"/>
        </w:rPr>
        <w:t>allowed</w:t>
      </w:r>
      <w:r w:rsidR="001A781E" w:rsidRPr="00DE1463">
        <w:rPr>
          <w:lang w:val="en-GB"/>
        </w:rPr>
        <w:t xml:space="preserve"> </w:t>
      </w:r>
      <w:r w:rsidR="00DE1463" w:rsidRPr="00DE1463">
        <w:rPr>
          <w:lang w:val="en-GB"/>
        </w:rPr>
        <w:t xml:space="preserve">by the Court of Cassation on the basis of Law no. 326 of 24 November 2003. The remaining grounds of appeal were </w:t>
      </w:r>
      <w:r w:rsidR="00293D15">
        <w:rPr>
          <w:lang w:val="en-GB"/>
        </w:rPr>
        <w:t>dismissed</w:t>
      </w:r>
      <w:r w:rsidR="00293D15" w:rsidRPr="00DE1463">
        <w:rPr>
          <w:lang w:val="en-GB"/>
        </w:rPr>
        <w:t xml:space="preserve"> </w:t>
      </w:r>
      <w:r w:rsidR="00DE1463" w:rsidRPr="00DE1463">
        <w:rPr>
          <w:lang w:val="en-GB"/>
        </w:rPr>
        <w:t xml:space="preserve">for the same reasons </w:t>
      </w:r>
      <w:r w:rsidR="00293D15">
        <w:rPr>
          <w:lang w:val="en-GB"/>
        </w:rPr>
        <w:t>outlined</w:t>
      </w:r>
      <w:r w:rsidR="00DE1463" w:rsidRPr="00DE1463">
        <w:rPr>
          <w:lang w:val="en-GB"/>
        </w:rPr>
        <w:t xml:space="preserve"> above.</w:t>
      </w:r>
      <w:r w:rsidR="005D78E0" w:rsidRPr="005D78E0">
        <w:rPr>
          <w:lang w:val="en-GB"/>
        </w:rPr>
        <w:t xml:space="preserve"> </w:t>
      </w:r>
      <w:r w:rsidR="005D78E0">
        <w:rPr>
          <w:lang w:val="en-GB"/>
        </w:rPr>
        <w:t>Each party was to bear its own cost</w:t>
      </w:r>
      <w:r w:rsidR="00293D15">
        <w:rPr>
          <w:lang w:val="en-GB"/>
        </w:rPr>
        <w:t>s</w:t>
      </w:r>
      <w:r w:rsidR="005D78E0">
        <w:rPr>
          <w:lang w:val="en-GB"/>
        </w:rPr>
        <w:t xml:space="preserve"> </w:t>
      </w:r>
      <w:r w:rsidR="00293D15">
        <w:rPr>
          <w:lang w:val="en-GB"/>
        </w:rPr>
        <w:t xml:space="preserve">for </w:t>
      </w:r>
      <w:r w:rsidR="005D78E0">
        <w:rPr>
          <w:lang w:val="en-GB"/>
        </w:rPr>
        <w:t>the entire proceedings.</w:t>
      </w:r>
    </w:p>
    <w:p w:rsidR="00DE1463" w:rsidRPr="00784828" w:rsidRDefault="00784828" w:rsidP="009B0194">
      <w:pPr>
        <w:pStyle w:val="ECHRHeading3"/>
        <w:rPr>
          <w:lang w:val="en-GB"/>
        </w:rPr>
      </w:pPr>
      <w:r w:rsidRPr="00784828">
        <w:rPr>
          <w:lang w:val="en-GB"/>
        </w:rPr>
        <w:t>4.</w:t>
      </w:r>
      <w:r w:rsidR="009B0194">
        <w:rPr>
          <w:lang w:val="en-GB"/>
        </w:rPr>
        <w:t>  </w:t>
      </w:r>
      <w:r w:rsidR="00DE1463" w:rsidRPr="00784828">
        <w:rPr>
          <w:lang w:val="en-GB"/>
        </w:rPr>
        <w:t>Floricultura Zanchi</w:t>
      </w:r>
    </w:p>
    <w:p w:rsidR="00DE1463" w:rsidRPr="00DE1463" w:rsidRDefault="00784828" w:rsidP="009B0194">
      <w:pPr>
        <w:pStyle w:val="ECHRPara"/>
        <w:rPr>
          <w:lang w:val="en-GB"/>
        </w:rPr>
      </w:pPr>
      <w:r>
        <w:rPr>
          <w:lang w:val="en-GB"/>
        </w:rPr>
        <w:fldChar w:fldCharType="begin"/>
      </w:r>
      <w:r>
        <w:rPr>
          <w:lang w:val="en-GB"/>
        </w:rPr>
        <w:instrText xml:space="preserve"> SEQ level0 \*arabic </w:instrText>
      </w:r>
      <w:r>
        <w:rPr>
          <w:lang w:val="en-GB"/>
        </w:rPr>
        <w:fldChar w:fldCharType="separate"/>
      </w:r>
      <w:r w:rsidR="00D471CA">
        <w:rPr>
          <w:noProof/>
          <w:lang w:val="en-GB"/>
        </w:rPr>
        <w:t>40</w:t>
      </w:r>
      <w:r>
        <w:rPr>
          <w:lang w:val="en-GB"/>
        </w:rPr>
        <w:fldChar w:fldCharType="end"/>
      </w:r>
      <w:r>
        <w:rPr>
          <w:lang w:val="en-GB"/>
        </w:rPr>
        <w:t>.  </w:t>
      </w:r>
      <w:r w:rsidR="00DE1463" w:rsidRPr="00DE1463">
        <w:rPr>
          <w:lang w:val="en-GB"/>
        </w:rPr>
        <w:t xml:space="preserve">On 10 December 2001 the applicant company requested the INPS to return the monies which it had </w:t>
      </w:r>
      <w:r w:rsidR="00C414A0">
        <w:rPr>
          <w:lang w:val="en-GB"/>
        </w:rPr>
        <w:t>with</w:t>
      </w:r>
      <w:r w:rsidR="00DE1463" w:rsidRPr="00DE1463">
        <w:rPr>
          <w:lang w:val="en-GB"/>
        </w:rPr>
        <w:t>held contrary to what was provided for by law when it failed to apply the concession in its respect, for the period between 1 April 1991 and 31 December 1997, amounting to 163,373,972 Italian lire (approximately EUR 84,375) plus interest and revaluation.</w:t>
      </w:r>
    </w:p>
    <w:p w:rsidR="00632A2E" w:rsidRDefault="00784828" w:rsidP="009B0194">
      <w:pPr>
        <w:pStyle w:val="ECHRPara"/>
        <w:rPr>
          <w:lang w:val="en-GB"/>
        </w:rPr>
      </w:pPr>
      <w:r>
        <w:rPr>
          <w:lang w:val="en-GB"/>
        </w:rPr>
        <w:fldChar w:fldCharType="begin"/>
      </w:r>
      <w:r>
        <w:rPr>
          <w:lang w:val="en-GB"/>
        </w:rPr>
        <w:instrText xml:space="preserve"> SEQ level0 \*arabic </w:instrText>
      </w:r>
      <w:r>
        <w:rPr>
          <w:lang w:val="en-GB"/>
        </w:rPr>
        <w:fldChar w:fldCharType="separate"/>
      </w:r>
      <w:r w:rsidR="00D471CA">
        <w:rPr>
          <w:noProof/>
          <w:lang w:val="en-GB"/>
        </w:rPr>
        <w:t>41</w:t>
      </w:r>
      <w:r>
        <w:rPr>
          <w:lang w:val="en-GB"/>
        </w:rPr>
        <w:fldChar w:fldCharType="end"/>
      </w:r>
      <w:r>
        <w:rPr>
          <w:lang w:val="en-GB"/>
        </w:rPr>
        <w:t>.  </w:t>
      </w:r>
      <w:r w:rsidR="00DE1463" w:rsidRPr="00DE1463">
        <w:rPr>
          <w:lang w:val="en-GB"/>
        </w:rPr>
        <w:t>The INPS</w:t>
      </w:r>
      <w:r w:rsidR="00864D90">
        <w:rPr>
          <w:lang w:val="en-GB"/>
        </w:rPr>
        <w:t>’</w:t>
      </w:r>
      <w:r w:rsidR="00DE1463" w:rsidRPr="00DE1463">
        <w:rPr>
          <w:lang w:val="en-GB"/>
        </w:rPr>
        <w:t>s failure to reply amounting to an implicit rejection (</w:t>
      </w:r>
      <w:r w:rsidR="00DE1463" w:rsidRPr="00DE1463">
        <w:rPr>
          <w:i/>
          <w:lang w:val="en-GB"/>
        </w:rPr>
        <w:t>silenzio-rifiuto</w:t>
      </w:r>
      <w:r w:rsidR="00DE1463" w:rsidRPr="00DE1463">
        <w:rPr>
          <w:lang w:val="en-GB"/>
        </w:rPr>
        <w:t xml:space="preserve">), on 15 May 2002 the applicant company instituted an administrative procedure </w:t>
      </w:r>
      <w:r w:rsidR="00A60E91">
        <w:rPr>
          <w:lang w:val="en-GB"/>
        </w:rPr>
        <w:t>before</w:t>
      </w:r>
      <w:r w:rsidR="00DE1463" w:rsidRPr="00DE1463">
        <w:rPr>
          <w:lang w:val="en-GB"/>
        </w:rPr>
        <w:t xml:space="preserve"> the INPS. The latter again failed to reply.</w:t>
      </w:r>
    </w:p>
    <w:p w:rsidR="00632A2E" w:rsidRDefault="00E72ABD" w:rsidP="009B0194">
      <w:pPr>
        <w:pStyle w:val="ECHRPara"/>
        <w:rPr>
          <w:lang w:val="en-GB"/>
        </w:rPr>
      </w:pPr>
      <w:r>
        <w:rPr>
          <w:lang w:val="en-GB"/>
        </w:rPr>
        <w:fldChar w:fldCharType="begin"/>
      </w:r>
      <w:r>
        <w:rPr>
          <w:lang w:val="en-GB"/>
        </w:rPr>
        <w:instrText xml:space="preserve"> SEQ level0 \*arabic </w:instrText>
      </w:r>
      <w:r>
        <w:rPr>
          <w:lang w:val="en-GB"/>
        </w:rPr>
        <w:fldChar w:fldCharType="separate"/>
      </w:r>
      <w:r w:rsidR="00D471CA">
        <w:rPr>
          <w:noProof/>
          <w:lang w:val="en-GB"/>
        </w:rPr>
        <w:t>42</w:t>
      </w:r>
      <w:r>
        <w:rPr>
          <w:lang w:val="en-GB"/>
        </w:rPr>
        <w:fldChar w:fldCharType="end"/>
      </w:r>
      <w:r>
        <w:rPr>
          <w:lang w:val="en-GB"/>
        </w:rPr>
        <w:t>.  </w:t>
      </w:r>
      <w:r w:rsidR="00DE1463" w:rsidRPr="00DE1463">
        <w:rPr>
          <w:lang w:val="en-GB"/>
        </w:rPr>
        <w:t>Thus, on 11 September 2002 the applicant company instituted judicial proceedings to recover the monies due (as mentioned above) for the period not covered by prescription</w:t>
      </w:r>
      <w:r w:rsidR="00A715D8">
        <w:rPr>
          <w:lang w:val="en-GB"/>
        </w:rPr>
        <w:t xml:space="preserve"> (2001 onwards)</w:t>
      </w:r>
      <w:r w:rsidR="00DE1463" w:rsidRPr="00DE1463">
        <w:rPr>
          <w:lang w:val="en-GB"/>
        </w:rPr>
        <w:t>.</w:t>
      </w:r>
    </w:p>
    <w:p w:rsidR="00DE1463" w:rsidRPr="00DE1463" w:rsidRDefault="00E72ABD" w:rsidP="009B0194">
      <w:pPr>
        <w:pStyle w:val="ECHRPara"/>
        <w:rPr>
          <w:lang w:val="en-GB"/>
        </w:rPr>
      </w:pPr>
      <w:r>
        <w:rPr>
          <w:lang w:val="en-GB"/>
        </w:rPr>
        <w:fldChar w:fldCharType="begin"/>
      </w:r>
      <w:r>
        <w:rPr>
          <w:lang w:val="en-GB"/>
        </w:rPr>
        <w:instrText xml:space="preserve"> SEQ level0 \*arabic </w:instrText>
      </w:r>
      <w:r>
        <w:rPr>
          <w:lang w:val="en-GB"/>
        </w:rPr>
        <w:fldChar w:fldCharType="separate"/>
      </w:r>
      <w:r w:rsidR="00D471CA">
        <w:rPr>
          <w:noProof/>
          <w:lang w:val="en-GB"/>
        </w:rPr>
        <w:t>43</w:t>
      </w:r>
      <w:r>
        <w:rPr>
          <w:lang w:val="en-GB"/>
        </w:rPr>
        <w:fldChar w:fldCharType="end"/>
      </w:r>
      <w:r>
        <w:rPr>
          <w:lang w:val="en-GB"/>
        </w:rPr>
        <w:t>.  </w:t>
      </w:r>
      <w:r w:rsidR="00DE1463" w:rsidRPr="00DE1463">
        <w:rPr>
          <w:lang w:val="en-GB"/>
        </w:rPr>
        <w:t xml:space="preserve">By a judgment (no. 57/2003) of 13 February 2003 the Bergamo Tribunal found in favour of the applicant company. Considering that the two benefits could be </w:t>
      </w:r>
      <w:r w:rsidR="005F4E38">
        <w:rPr>
          <w:lang w:val="en-GB"/>
        </w:rPr>
        <w:t>accumulated</w:t>
      </w:r>
      <w:r w:rsidR="00DE1463" w:rsidRPr="00DE1463">
        <w:rPr>
          <w:lang w:val="en-GB"/>
        </w:rPr>
        <w:t xml:space="preserve"> and that the applicant had paid the relevant dues, it ordered the INPS to pay back the misappropriated sums, with interest and </w:t>
      </w:r>
      <w:r w:rsidR="00CA640F">
        <w:rPr>
          <w:lang w:val="en-GB"/>
        </w:rPr>
        <w:t xml:space="preserve">subject to </w:t>
      </w:r>
      <w:r w:rsidR="00DE1463" w:rsidRPr="00DE1463">
        <w:rPr>
          <w:lang w:val="en-GB"/>
        </w:rPr>
        <w:t>revaluation</w:t>
      </w:r>
      <w:r w:rsidR="00A715D8">
        <w:rPr>
          <w:lang w:val="en-GB"/>
        </w:rPr>
        <w:t xml:space="preserve"> (from 2001 onwards)</w:t>
      </w:r>
      <w:r w:rsidR="00DE1463" w:rsidRPr="00DE1463">
        <w:rPr>
          <w:lang w:val="en-GB"/>
        </w:rPr>
        <w:t xml:space="preserve">, </w:t>
      </w:r>
      <w:r w:rsidR="009A553F">
        <w:rPr>
          <w:lang w:val="en-GB"/>
        </w:rPr>
        <w:t>and to pay</w:t>
      </w:r>
      <w:r w:rsidR="00DE1463" w:rsidRPr="00DE1463">
        <w:rPr>
          <w:lang w:val="en-GB"/>
        </w:rPr>
        <w:t xml:space="preserve"> </w:t>
      </w:r>
      <w:r w:rsidR="00A715D8">
        <w:rPr>
          <w:lang w:val="en-GB"/>
        </w:rPr>
        <w:t>its</w:t>
      </w:r>
      <w:r w:rsidR="00DE1463" w:rsidRPr="00DE1463">
        <w:rPr>
          <w:lang w:val="en-GB"/>
        </w:rPr>
        <w:t xml:space="preserve"> </w:t>
      </w:r>
      <w:r w:rsidR="00CA640F">
        <w:rPr>
          <w:lang w:val="en-GB"/>
        </w:rPr>
        <w:t xml:space="preserve">share of the </w:t>
      </w:r>
      <w:r w:rsidR="00DE1463" w:rsidRPr="00DE1463">
        <w:rPr>
          <w:lang w:val="en-GB"/>
        </w:rPr>
        <w:t>costs of the proceedings.</w:t>
      </w:r>
    </w:p>
    <w:p w:rsidR="00632A2E" w:rsidRDefault="00E72ABD" w:rsidP="009B0194">
      <w:pPr>
        <w:pStyle w:val="ECHRPara"/>
        <w:rPr>
          <w:lang w:val="en-GB"/>
        </w:rPr>
      </w:pPr>
      <w:r>
        <w:rPr>
          <w:lang w:val="en-GB"/>
        </w:rPr>
        <w:fldChar w:fldCharType="begin"/>
      </w:r>
      <w:r>
        <w:rPr>
          <w:lang w:val="en-GB"/>
        </w:rPr>
        <w:instrText xml:space="preserve"> SEQ level0 \*arabic </w:instrText>
      </w:r>
      <w:r>
        <w:rPr>
          <w:lang w:val="en-GB"/>
        </w:rPr>
        <w:fldChar w:fldCharType="separate"/>
      </w:r>
      <w:r w:rsidR="00D471CA">
        <w:rPr>
          <w:noProof/>
          <w:lang w:val="en-GB"/>
        </w:rPr>
        <w:t>44</w:t>
      </w:r>
      <w:r>
        <w:rPr>
          <w:lang w:val="en-GB"/>
        </w:rPr>
        <w:fldChar w:fldCharType="end"/>
      </w:r>
      <w:r>
        <w:rPr>
          <w:lang w:val="en-GB"/>
        </w:rPr>
        <w:t>.  </w:t>
      </w:r>
      <w:r w:rsidR="00DE1463" w:rsidRPr="00DE1463">
        <w:rPr>
          <w:lang w:val="en-GB"/>
        </w:rPr>
        <w:t xml:space="preserve">By a judgment (no. 278/03) of 25 September 2003 filed in the relevant registry on 4 November 2003 the Brescia Court of Appeal </w:t>
      </w:r>
      <w:r w:rsidR="006C2701">
        <w:rPr>
          <w:lang w:val="en-GB"/>
        </w:rPr>
        <w:t xml:space="preserve">dismissed </w:t>
      </w:r>
      <w:r w:rsidR="00DE1463" w:rsidRPr="00DE1463">
        <w:rPr>
          <w:lang w:val="en-GB"/>
        </w:rPr>
        <w:t>the INPS</w:t>
      </w:r>
      <w:r w:rsidR="00864D90">
        <w:rPr>
          <w:lang w:val="en-GB"/>
        </w:rPr>
        <w:t>’</w:t>
      </w:r>
      <w:r w:rsidR="00DE1463" w:rsidRPr="00DE1463">
        <w:rPr>
          <w:lang w:val="en-GB"/>
        </w:rPr>
        <w:t xml:space="preserve">s appeal and </w:t>
      </w:r>
      <w:r w:rsidR="006C2701">
        <w:rPr>
          <w:lang w:val="en-GB"/>
        </w:rPr>
        <w:t>upheld</w:t>
      </w:r>
      <w:r w:rsidR="006C2701" w:rsidRPr="00DE1463">
        <w:rPr>
          <w:lang w:val="en-GB"/>
        </w:rPr>
        <w:t xml:space="preserve"> </w:t>
      </w:r>
      <w:r w:rsidR="00DE1463" w:rsidRPr="00DE1463">
        <w:rPr>
          <w:lang w:val="en-GB"/>
        </w:rPr>
        <w:t>the first-instance judgment.</w:t>
      </w:r>
    </w:p>
    <w:p w:rsidR="00DE1463" w:rsidRPr="00DE1463" w:rsidRDefault="00E72ABD" w:rsidP="009B0194">
      <w:pPr>
        <w:pStyle w:val="ECHRPara"/>
        <w:rPr>
          <w:lang w:val="en-GB"/>
        </w:rPr>
      </w:pPr>
      <w:r>
        <w:rPr>
          <w:lang w:val="en-GB"/>
        </w:rPr>
        <w:fldChar w:fldCharType="begin"/>
      </w:r>
      <w:r>
        <w:rPr>
          <w:lang w:val="en-GB"/>
        </w:rPr>
        <w:instrText xml:space="preserve"> SEQ level0 \*arabic </w:instrText>
      </w:r>
      <w:r>
        <w:rPr>
          <w:lang w:val="en-GB"/>
        </w:rPr>
        <w:fldChar w:fldCharType="separate"/>
      </w:r>
      <w:r w:rsidR="00D471CA">
        <w:rPr>
          <w:noProof/>
          <w:lang w:val="en-GB"/>
        </w:rPr>
        <w:t>45</w:t>
      </w:r>
      <w:r>
        <w:rPr>
          <w:lang w:val="en-GB"/>
        </w:rPr>
        <w:fldChar w:fldCharType="end"/>
      </w:r>
      <w:r>
        <w:rPr>
          <w:lang w:val="en-GB"/>
        </w:rPr>
        <w:t>.  </w:t>
      </w:r>
      <w:r w:rsidR="00DE1463" w:rsidRPr="00DE1463">
        <w:rPr>
          <w:lang w:val="en-GB"/>
        </w:rPr>
        <w:t>Following the entry into force of Law no. 326 of 24 November 2003 the INPS appealed to the Court of Cassation.</w:t>
      </w:r>
    </w:p>
    <w:p w:rsidR="00DE1463" w:rsidRPr="00DE1463" w:rsidRDefault="00E72ABD" w:rsidP="009B0194">
      <w:pPr>
        <w:pStyle w:val="ECHRPara"/>
        <w:rPr>
          <w:lang w:val="en-GB"/>
        </w:rPr>
      </w:pPr>
      <w:r>
        <w:rPr>
          <w:lang w:val="en-GB"/>
        </w:rPr>
        <w:fldChar w:fldCharType="begin"/>
      </w:r>
      <w:r>
        <w:rPr>
          <w:lang w:val="en-GB"/>
        </w:rPr>
        <w:instrText xml:space="preserve"> SEQ level0 \*arabic </w:instrText>
      </w:r>
      <w:r>
        <w:rPr>
          <w:lang w:val="en-GB"/>
        </w:rPr>
        <w:fldChar w:fldCharType="separate"/>
      </w:r>
      <w:r w:rsidR="00D471CA">
        <w:rPr>
          <w:noProof/>
          <w:lang w:val="en-GB"/>
        </w:rPr>
        <w:t>46</w:t>
      </w:r>
      <w:r>
        <w:rPr>
          <w:lang w:val="en-GB"/>
        </w:rPr>
        <w:fldChar w:fldCharType="end"/>
      </w:r>
      <w:r>
        <w:rPr>
          <w:lang w:val="en-GB"/>
        </w:rPr>
        <w:t>.  </w:t>
      </w:r>
      <w:r w:rsidR="00DE1463" w:rsidRPr="00DE1463">
        <w:rPr>
          <w:lang w:val="en-GB"/>
        </w:rPr>
        <w:t xml:space="preserve">The applicant company cross-appealed </w:t>
      </w:r>
      <w:r w:rsidR="006C2701">
        <w:rPr>
          <w:lang w:val="en-GB"/>
        </w:rPr>
        <w:t>along</w:t>
      </w:r>
      <w:r w:rsidR="006C2701" w:rsidRPr="00DE1463">
        <w:rPr>
          <w:lang w:val="en-GB"/>
        </w:rPr>
        <w:t xml:space="preserve"> </w:t>
      </w:r>
      <w:r w:rsidR="00DE1463" w:rsidRPr="00DE1463">
        <w:rPr>
          <w:lang w:val="en-GB"/>
        </w:rPr>
        <w:t>the lines mentioned above</w:t>
      </w:r>
      <w:r w:rsidR="00D41465">
        <w:rPr>
          <w:lang w:val="en-GB"/>
        </w:rPr>
        <w:t>.</w:t>
      </w:r>
    </w:p>
    <w:p w:rsidR="00DE1463" w:rsidRPr="00DE1463" w:rsidRDefault="00E72ABD" w:rsidP="009B0194">
      <w:pPr>
        <w:pStyle w:val="ECHRPara"/>
        <w:rPr>
          <w:lang w:val="en-GB"/>
        </w:rPr>
      </w:pPr>
      <w:r>
        <w:rPr>
          <w:lang w:val="en-GB"/>
        </w:rPr>
        <w:fldChar w:fldCharType="begin"/>
      </w:r>
      <w:r>
        <w:rPr>
          <w:lang w:val="en-GB"/>
        </w:rPr>
        <w:instrText xml:space="preserve"> SEQ level0 \*arabic </w:instrText>
      </w:r>
      <w:r>
        <w:rPr>
          <w:lang w:val="en-GB"/>
        </w:rPr>
        <w:fldChar w:fldCharType="separate"/>
      </w:r>
      <w:r w:rsidR="00D471CA">
        <w:rPr>
          <w:noProof/>
          <w:lang w:val="en-GB"/>
        </w:rPr>
        <w:t>47</w:t>
      </w:r>
      <w:r>
        <w:rPr>
          <w:lang w:val="en-GB"/>
        </w:rPr>
        <w:fldChar w:fldCharType="end"/>
      </w:r>
      <w:r>
        <w:rPr>
          <w:lang w:val="en-GB"/>
        </w:rPr>
        <w:t>.  </w:t>
      </w:r>
      <w:r w:rsidR="00DE1463" w:rsidRPr="00DE1463">
        <w:rPr>
          <w:lang w:val="en-GB"/>
        </w:rPr>
        <w:t>By a judgment (no. 12864/07) filed in the relevant registry on 1 June 2007 the INPS</w:t>
      </w:r>
      <w:r w:rsidR="00864D90">
        <w:rPr>
          <w:lang w:val="en-GB"/>
        </w:rPr>
        <w:t>’</w:t>
      </w:r>
      <w:r w:rsidR="00DE1463" w:rsidRPr="00DE1463">
        <w:rPr>
          <w:lang w:val="en-GB"/>
        </w:rPr>
        <w:t xml:space="preserve">s appeal was </w:t>
      </w:r>
      <w:r w:rsidR="001A781E">
        <w:rPr>
          <w:lang w:val="en-GB"/>
        </w:rPr>
        <w:t>allowed</w:t>
      </w:r>
      <w:r w:rsidR="001A781E" w:rsidRPr="00DE1463">
        <w:rPr>
          <w:lang w:val="en-GB"/>
        </w:rPr>
        <w:t xml:space="preserve"> </w:t>
      </w:r>
      <w:r w:rsidR="00DE1463" w:rsidRPr="00DE1463">
        <w:rPr>
          <w:lang w:val="en-GB"/>
        </w:rPr>
        <w:t xml:space="preserve">by the Court of Cassation on the basis of Law no. 326 of 24 November 2003. The remaining grounds of appeal were </w:t>
      </w:r>
      <w:r w:rsidR="00607EDD">
        <w:rPr>
          <w:lang w:val="en-GB"/>
        </w:rPr>
        <w:t>dismissed</w:t>
      </w:r>
      <w:r w:rsidR="00607EDD" w:rsidRPr="00DE1463">
        <w:rPr>
          <w:lang w:val="en-GB"/>
        </w:rPr>
        <w:t xml:space="preserve"> </w:t>
      </w:r>
      <w:r w:rsidR="00DE1463" w:rsidRPr="00DE1463">
        <w:rPr>
          <w:lang w:val="en-GB"/>
        </w:rPr>
        <w:t xml:space="preserve">for the same reasons </w:t>
      </w:r>
      <w:r w:rsidR="00607EDD">
        <w:rPr>
          <w:lang w:val="en-GB"/>
        </w:rPr>
        <w:t>outlined</w:t>
      </w:r>
      <w:r w:rsidR="00DE1463" w:rsidRPr="00DE1463">
        <w:rPr>
          <w:lang w:val="en-GB"/>
        </w:rPr>
        <w:t xml:space="preserve"> above.</w:t>
      </w:r>
      <w:r w:rsidR="00D9234C" w:rsidRPr="00D9234C">
        <w:rPr>
          <w:lang w:val="en-GB"/>
        </w:rPr>
        <w:t xml:space="preserve"> </w:t>
      </w:r>
      <w:r w:rsidR="00D9234C">
        <w:rPr>
          <w:lang w:val="en-GB"/>
        </w:rPr>
        <w:t>Each party was to bear its own cost</w:t>
      </w:r>
      <w:r w:rsidR="00607EDD">
        <w:rPr>
          <w:lang w:val="en-GB"/>
        </w:rPr>
        <w:t>s</w:t>
      </w:r>
      <w:r w:rsidR="00D9234C">
        <w:rPr>
          <w:lang w:val="en-GB"/>
        </w:rPr>
        <w:t xml:space="preserve"> </w:t>
      </w:r>
      <w:r w:rsidR="00607EDD">
        <w:rPr>
          <w:lang w:val="en-GB"/>
        </w:rPr>
        <w:t xml:space="preserve">for </w:t>
      </w:r>
      <w:r w:rsidR="00D9234C">
        <w:rPr>
          <w:lang w:val="en-GB"/>
        </w:rPr>
        <w:t>the entire proceedings.</w:t>
      </w:r>
    </w:p>
    <w:p w:rsidR="007352DD" w:rsidRDefault="007352DD" w:rsidP="009B0194">
      <w:pPr>
        <w:pStyle w:val="ECHRHeading1"/>
        <w:rPr>
          <w:lang w:val="en-GB"/>
        </w:rPr>
      </w:pPr>
      <w:r w:rsidRPr="00B46173">
        <w:rPr>
          <w:lang w:val="en-GB"/>
        </w:rPr>
        <w:t>II.  RELEVANT DOMESTIC LAW AND PRACTICE</w:t>
      </w:r>
    </w:p>
    <w:p w:rsidR="00DE1463" w:rsidRPr="00B46EBD" w:rsidRDefault="00E72ABD" w:rsidP="009B0194">
      <w:pPr>
        <w:pStyle w:val="ECHRHeading2"/>
        <w:rPr>
          <w:lang w:val="it-IT"/>
        </w:rPr>
      </w:pPr>
      <w:r w:rsidRPr="00B46EBD">
        <w:rPr>
          <w:lang w:val="it-IT"/>
        </w:rPr>
        <w:t>A</w:t>
      </w:r>
      <w:r w:rsidR="009B0194">
        <w:rPr>
          <w:lang w:val="it-IT"/>
        </w:rPr>
        <w:t>.  </w:t>
      </w:r>
      <w:r w:rsidR="00DE1463" w:rsidRPr="00B46EBD">
        <w:rPr>
          <w:lang w:val="it-IT"/>
        </w:rPr>
        <w:t>Concession (</w:t>
      </w:r>
      <w:r w:rsidR="00DE1463" w:rsidRPr="00B46EBD">
        <w:rPr>
          <w:i/>
          <w:lang w:val="it-IT"/>
        </w:rPr>
        <w:t>fiscalizzazione</w:t>
      </w:r>
      <w:r w:rsidR="00B46EBD" w:rsidRPr="00B46EBD">
        <w:rPr>
          <w:i/>
          <w:lang w:val="it-IT"/>
        </w:rPr>
        <w:t xml:space="preserve"> degli oneri sociali</w:t>
      </w:r>
      <w:r w:rsidR="00DE1463" w:rsidRPr="00B46EBD">
        <w:rPr>
          <w:lang w:val="it-IT"/>
        </w:rPr>
        <w:t>)</w:t>
      </w:r>
    </w:p>
    <w:p w:rsidR="00DE1463" w:rsidRPr="00DE1463" w:rsidRDefault="00E72ABD" w:rsidP="009B0194">
      <w:pPr>
        <w:pStyle w:val="ECHRPara"/>
        <w:rPr>
          <w:lang w:val="en-GB"/>
        </w:rPr>
      </w:pPr>
      <w:r>
        <w:rPr>
          <w:lang w:val="en-GB"/>
        </w:rPr>
        <w:fldChar w:fldCharType="begin"/>
      </w:r>
      <w:r>
        <w:rPr>
          <w:lang w:val="en-GB"/>
        </w:rPr>
        <w:instrText xml:space="preserve"> SEQ level0 \*arabic </w:instrText>
      </w:r>
      <w:r>
        <w:rPr>
          <w:lang w:val="en-GB"/>
        </w:rPr>
        <w:fldChar w:fldCharType="separate"/>
      </w:r>
      <w:r w:rsidR="00D471CA">
        <w:rPr>
          <w:noProof/>
          <w:lang w:val="en-GB"/>
        </w:rPr>
        <w:t>48</w:t>
      </w:r>
      <w:r>
        <w:rPr>
          <w:lang w:val="en-GB"/>
        </w:rPr>
        <w:fldChar w:fldCharType="end"/>
      </w:r>
      <w:r>
        <w:rPr>
          <w:lang w:val="en-GB"/>
        </w:rPr>
        <w:t>.  </w:t>
      </w:r>
      <w:r w:rsidR="00DE1463" w:rsidRPr="00DE1463">
        <w:rPr>
          <w:lang w:val="en-GB"/>
        </w:rPr>
        <w:t>Article 1</w:t>
      </w:r>
      <w:r w:rsidR="00C953B6">
        <w:rPr>
          <w:lang w:val="en-GB"/>
        </w:rPr>
        <w:t>(</w:t>
      </w:r>
      <w:r w:rsidR="00DE1463" w:rsidRPr="00DE1463">
        <w:rPr>
          <w:lang w:val="en-GB"/>
        </w:rPr>
        <w:t>6</w:t>
      </w:r>
      <w:r w:rsidR="00C953B6">
        <w:rPr>
          <w:lang w:val="en-GB"/>
        </w:rPr>
        <w:t>)</w:t>
      </w:r>
      <w:r w:rsidR="00DE1463" w:rsidRPr="00DE1463">
        <w:rPr>
          <w:lang w:val="en-GB"/>
        </w:rPr>
        <w:t xml:space="preserve"> of Law no. 48 of 1988 (Legislative Decree no. 536 of 30</w:t>
      </w:r>
      <w:r w:rsidR="00864D90">
        <w:rPr>
          <w:lang w:val="en-GB"/>
        </w:rPr>
        <w:t> </w:t>
      </w:r>
      <w:r w:rsidR="00DE1463" w:rsidRPr="00DE1463">
        <w:rPr>
          <w:lang w:val="en-GB"/>
        </w:rPr>
        <w:t>December 1987) reads as follows:</w:t>
      </w:r>
    </w:p>
    <w:p w:rsidR="00DE1463" w:rsidRPr="00DE1463" w:rsidRDefault="00DE1463" w:rsidP="009B0194">
      <w:pPr>
        <w:pStyle w:val="ECHRParaQuote"/>
        <w:rPr>
          <w:lang w:val="en-GB"/>
        </w:rPr>
      </w:pPr>
      <w:r w:rsidRPr="00DE1463">
        <w:rPr>
          <w:lang w:val="en-GB"/>
        </w:rPr>
        <w:t xml:space="preserve">“A reduction of contributions for the purposes of </w:t>
      </w:r>
      <w:r w:rsidR="00C1005C">
        <w:rPr>
          <w:lang w:val="en-GB"/>
        </w:rPr>
        <w:t>A</w:t>
      </w:r>
      <w:r w:rsidRPr="00DE1463">
        <w:rPr>
          <w:lang w:val="en-GB"/>
        </w:rPr>
        <w:t>rticle 31 sub-article 1 of Law no. 41/48, of Lire 133.000 per employee, is granted to employers in the agricultural sector to run from 1 January 1987 throughout the salary period up to 30 November 1988, for every monthly payment up to the twelfth month included. Such a reduction does not apply to employers in the agricultural sector who operate in the territories mentioned in Article 1 of the laws on interventions in the South of Italy (</w:t>
      </w:r>
      <w:r w:rsidR="007F68B2">
        <w:rPr>
          <w:i/>
          <w:lang w:val="en-GB"/>
        </w:rPr>
        <w:t xml:space="preserve">il </w:t>
      </w:r>
      <w:r w:rsidRPr="00DE1463">
        <w:rPr>
          <w:i/>
          <w:lang w:val="en-GB"/>
        </w:rPr>
        <w:t>Mezzogiorno</w:t>
      </w:r>
      <w:r w:rsidRPr="00DE1463">
        <w:rPr>
          <w:lang w:val="en-GB"/>
        </w:rPr>
        <w:t>) (</w:t>
      </w:r>
      <w:r w:rsidRPr="00DE1463">
        <w:rPr>
          <w:i/>
          <w:lang w:val="en-GB"/>
        </w:rPr>
        <w:t>testo unico</w:t>
      </w:r>
      <w:r w:rsidRPr="00DE1463">
        <w:rPr>
          <w:lang w:val="en-GB"/>
        </w:rPr>
        <w:t>) approved by Decree no. 218 of the President of the Republic of 6 March 1978.”</w:t>
      </w:r>
    </w:p>
    <w:p w:rsidR="00DE1463" w:rsidRPr="00E72ABD" w:rsidRDefault="00E72ABD" w:rsidP="009B0194">
      <w:pPr>
        <w:pStyle w:val="ECHRHeading2"/>
        <w:rPr>
          <w:lang w:val="en-GB"/>
        </w:rPr>
      </w:pPr>
      <w:r w:rsidRPr="00E72ABD">
        <w:rPr>
          <w:lang w:val="en-GB"/>
        </w:rPr>
        <w:t>B</w:t>
      </w:r>
      <w:r w:rsidR="009B0194">
        <w:rPr>
          <w:lang w:val="en-GB"/>
        </w:rPr>
        <w:t>.  </w:t>
      </w:r>
      <w:r w:rsidR="00DE1463" w:rsidRPr="00E72ABD">
        <w:rPr>
          <w:lang w:val="en-GB"/>
        </w:rPr>
        <w:t>Exemptions (</w:t>
      </w:r>
      <w:r w:rsidR="00DE1463" w:rsidRPr="00E72ABD">
        <w:rPr>
          <w:i/>
          <w:lang w:val="en-GB"/>
        </w:rPr>
        <w:t>sgravi contributivi</w:t>
      </w:r>
      <w:r w:rsidR="00DE1463" w:rsidRPr="00E72ABD">
        <w:rPr>
          <w:lang w:val="en-GB"/>
        </w:rPr>
        <w:t>)</w:t>
      </w:r>
    </w:p>
    <w:p w:rsidR="00DE1463" w:rsidRPr="00DE1463" w:rsidRDefault="00E72ABD" w:rsidP="009B0194">
      <w:pPr>
        <w:pStyle w:val="ECHRPara"/>
        <w:rPr>
          <w:lang w:val="en-GB"/>
        </w:rPr>
      </w:pPr>
      <w:r>
        <w:rPr>
          <w:lang w:val="en-GB"/>
        </w:rPr>
        <w:fldChar w:fldCharType="begin"/>
      </w:r>
      <w:r>
        <w:rPr>
          <w:lang w:val="en-GB"/>
        </w:rPr>
        <w:instrText xml:space="preserve"> SEQ level0 \*arabic </w:instrText>
      </w:r>
      <w:r>
        <w:rPr>
          <w:lang w:val="en-GB"/>
        </w:rPr>
        <w:fldChar w:fldCharType="separate"/>
      </w:r>
      <w:r w:rsidR="00D471CA">
        <w:rPr>
          <w:noProof/>
          <w:lang w:val="en-GB"/>
        </w:rPr>
        <w:t>49</w:t>
      </w:r>
      <w:r>
        <w:rPr>
          <w:lang w:val="en-GB"/>
        </w:rPr>
        <w:fldChar w:fldCharType="end"/>
      </w:r>
      <w:r>
        <w:rPr>
          <w:lang w:val="en-GB"/>
        </w:rPr>
        <w:t>.  </w:t>
      </w:r>
      <w:r w:rsidR="00DE1463" w:rsidRPr="00DE1463">
        <w:rPr>
          <w:lang w:val="en-GB"/>
        </w:rPr>
        <w:t>Article 9</w:t>
      </w:r>
      <w:r w:rsidR="00C953B6">
        <w:rPr>
          <w:lang w:val="en-GB"/>
        </w:rPr>
        <w:t>(</w:t>
      </w:r>
      <w:r w:rsidR="00DE1463" w:rsidRPr="00DE1463">
        <w:rPr>
          <w:lang w:val="en-GB"/>
        </w:rPr>
        <w:t>5</w:t>
      </w:r>
      <w:r w:rsidR="00C953B6">
        <w:rPr>
          <w:lang w:val="en-GB"/>
        </w:rPr>
        <w:t>)</w:t>
      </w:r>
      <w:r w:rsidR="00DE1463" w:rsidRPr="00DE1463">
        <w:rPr>
          <w:lang w:val="en-GB"/>
        </w:rPr>
        <w:t xml:space="preserve"> and </w:t>
      </w:r>
      <w:r w:rsidR="00C953B6">
        <w:rPr>
          <w:lang w:val="en-GB"/>
        </w:rPr>
        <w:t>(</w:t>
      </w:r>
      <w:r w:rsidR="00DE1463" w:rsidRPr="00DE1463">
        <w:rPr>
          <w:lang w:val="en-GB"/>
        </w:rPr>
        <w:t>6</w:t>
      </w:r>
      <w:r w:rsidR="00C953B6">
        <w:rPr>
          <w:lang w:val="en-GB"/>
        </w:rPr>
        <w:t>)</w:t>
      </w:r>
      <w:r w:rsidR="00DE1463" w:rsidRPr="00DE1463">
        <w:rPr>
          <w:lang w:val="en-GB"/>
        </w:rPr>
        <w:t xml:space="preserve"> of Law No. 67 of 1988 (</w:t>
      </w:r>
      <w:r w:rsidR="00DE1463" w:rsidRPr="00DE1463">
        <w:rPr>
          <w:i/>
          <w:lang w:val="en-GB"/>
        </w:rPr>
        <w:t>legge finanziaria 1988</w:t>
      </w:r>
      <w:r w:rsidR="00DE1463" w:rsidRPr="00DE1463">
        <w:rPr>
          <w:lang w:val="en-GB"/>
        </w:rPr>
        <w:t>) read as follows:</w:t>
      </w:r>
    </w:p>
    <w:p w:rsidR="00DE1463" w:rsidRPr="00DE1463" w:rsidRDefault="00DE1463" w:rsidP="009B0194">
      <w:pPr>
        <w:pStyle w:val="ECHRParaQuote"/>
        <w:rPr>
          <w:lang w:val="en-GB"/>
        </w:rPr>
      </w:pPr>
      <w:r w:rsidRPr="00DE1463">
        <w:rPr>
          <w:lang w:val="en-GB"/>
        </w:rPr>
        <w:t>“(5) As from 1 January 1988, premiums and contributions related to welfare and assistance in respect of employees</w:t>
      </w:r>
      <w:r w:rsidR="00C953B6">
        <w:rPr>
          <w:lang w:val="en-GB"/>
        </w:rPr>
        <w:t>,</w:t>
      </w:r>
      <w:r w:rsidRPr="00DE1463">
        <w:rPr>
          <w:lang w:val="en-GB"/>
        </w:rPr>
        <w:t xml:space="preserve"> whether on indeterminate or determinate duration contracts</w:t>
      </w:r>
      <w:r w:rsidR="00C953B6">
        <w:rPr>
          <w:lang w:val="en-GB"/>
        </w:rPr>
        <w:t>,</w:t>
      </w:r>
      <w:r w:rsidRPr="00DE1463">
        <w:rPr>
          <w:lang w:val="en-GB"/>
        </w:rPr>
        <w:t xml:space="preserve"> are due in the measure of 15% by their employers in the agricultural sector in Northern regions </w:t>
      </w:r>
      <w:r w:rsidR="00C953B6">
        <w:rPr>
          <w:lang w:val="en-GB"/>
        </w:rPr>
        <w:t>in accordance with</w:t>
      </w:r>
      <w:r w:rsidRPr="00DE1463">
        <w:rPr>
          <w:lang w:val="en-GB"/>
        </w:rPr>
        <w:t xml:space="preserve"> </w:t>
      </w:r>
      <w:r w:rsidR="00C953B6">
        <w:rPr>
          <w:lang w:val="en-GB"/>
        </w:rPr>
        <w:t>A</w:t>
      </w:r>
      <w:r w:rsidRPr="00DE1463">
        <w:rPr>
          <w:lang w:val="en-GB"/>
        </w:rPr>
        <w:t xml:space="preserve">rticle 9 of Decree no. 601 of the President of the Republic of 29 September 1973. The said premiums and contributions are due in the measure of 40% by employers in the agricultural sector operating in disadvantaged agricultural zones as defined in </w:t>
      </w:r>
      <w:r w:rsidR="00C953B6">
        <w:rPr>
          <w:lang w:val="en-GB"/>
        </w:rPr>
        <w:t>A</w:t>
      </w:r>
      <w:r w:rsidRPr="00DE1463">
        <w:rPr>
          <w:lang w:val="en-GB"/>
        </w:rPr>
        <w:t xml:space="preserve">rticle 15 of Law no. 984 of 1977 and in the measure of 20% by employers in the agricultural sector operating in disadvantaged agricultural zones as defined in </w:t>
      </w:r>
      <w:r w:rsidR="00C953B6">
        <w:rPr>
          <w:lang w:val="en-GB"/>
        </w:rPr>
        <w:t>A</w:t>
      </w:r>
      <w:r w:rsidRPr="00DE1463">
        <w:rPr>
          <w:lang w:val="en-GB"/>
        </w:rPr>
        <w:t>rticle 1 of the laws on interventions in the South of Italy (</w:t>
      </w:r>
      <w:r w:rsidR="007F68B2">
        <w:rPr>
          <w:i/>
          <w:lang w:val="en-GB"/>
        </w:rPr>
        <w:t>il</w:t>
      </w:r>
      <w:r w:rsidR="007F68B2" w:rsidRPr="00DE1463">
        <w:rPr>
          <w:i/>
          <w:lang w:val="en-GB"/>
        </w:rPr>
        <w:t xml:space="preserve"> </w:t>
      </w:r>
      <w:r w:rsidRPr="00DE1463">
        <w:rPr>
          <w:i/>
          <w:lang w:val="en-GB"/>
        </w:rPr>
        <w:t>Mezzogiorno</w:t>
      </w:r>
      <w:r w:rsidRPr="00DE1463">
        <w:rPr>
          <w:lang w:val="en-GB"/>
        </w:rPr>
        <w:t>) (</w:t>
      </w:r>
      <w:r w:rsidRPr="00DE1463">
        <w:rPr>
          <w:i/>
          <w:lang w:val="en-GB"/>
        </w:rPr>
        <w:t>testo unico</w:t>
      </w:r>
      <w:r w:rsidRPr="00DE1463">
        <w:rPr>
          <w:lang w:val="en-GB"/>
        </w:rPr>
        <w:t>) approved by Decree no. 218 of the President of the Republic of 6 March 1978.</w:t>
      </w:r>
    </w:p>
    <w:p w:rsidR="00DE1463" w:rsidRPr="00DE1463" w:rsidRDefault="00DE1463" w:rsidP="009B0194">
      <w:pPr>
        <w:pStyle w:val="ECHRParaQuote"/>
        <w:rPr>
          <w:lang w:val="en-GB"/>
        </w:rPr>
      </w:pPr>
      <w:r w:rsidRPr="00DE1463">
        <w:rPr>
          <w:lang w:val="en-GB"/>
        </w:rPr>
        <w:t>(6) For the purposes of the calculation of the exemption mentioned in sub-article 5, the concession (</w:t>
      </w:r>
      <w:r w:rsidRPr="00DE1463">
        <w:rPr>
          <w:i/>
          <w:lang w:val="en-GB"/>
        </w:rPr>
        <w:t>fiscalizzazione</w:t>
      </w:r>
      <w:r w:rsidRPr="00DE1463">
        <w:rPr>
          <w:lang w:val="en-GB"/>
        </w:rPr>
        <w:t xml:space="preserve">) provided for in </w:t>
      </w:r>
      <w:r w:rsidR="00C953B6">
        <w:rPr>
          <w:lang w:val="en-GB"/>
        </w:rPr>
        <w:t>A</w:t>
      </w:r>
      <w:r w:rsidRPr="00DE1463">
        <w:rPr>
          <w:lang w:val="en-GB"/>
        </w:rPr>
        <w:t>rticle 1 sub-article</w:t>
      </w:r>
      <w:r w:rsidR="00C953B6">
        <w:rPr>
          <w:lang w:val="en-GB"/>
        </w:rPr>
        <w:t>s</w:t>
      </w:r>
      <w:r w:rsidRPr="00DE1463">
        <w:rPr>
          <w:lang w:val="en-GB"/>
        </w:rPr>
        <w:t xml:space="preserve"> 5 and 6 of Legislative Decree no. 536 of 30 December 1987 as modified by Law no. 48 of 1988, is not to be taken into account.”</w:t>
      </w:r>
    </w:p>
    <w:p w:rsidR="00DE1463" w:rsidRPr="00DE1463" w:rsidRDefault="00E72ABD" w:rsidP="009B0194">
      <w:pPr>
        <w:pStyle w:val="ECHRPara"/>
        <w:rPr>
          <w:lang w:val="en-GB"/>
        </w:rPr>
      </w:pPr>
      <w:r>
        <w:rPr>
          <w:lang w:val="en-GB"/>
        </w:rPr>
        <w:fldChar w:fldCharType="begin"/>
      </w:r>
      <w:r>
        <w:rPr>
          <w:lang w:val="en-GB"/>
        </w:rPr>
        <w:instrText xml:space="preserve"> SEQ level0 \*arabic </w:instrText>
      </w:r>
      <w:r>
        <w:rPr>
          <w:lang w:val="en-GB"/>
        </w:rPr>
        <w:fldChar w:fldCharType="separate"/>
      </w:r>
      <w:r w:rsidR="00D471CA">
        <w:rPr>
          <w:noProof/>
          <w:lang w:val="en-GB"/>
        </w:rPr>
        <w:t>50</w:t>
      </w:r>
      <w:r>
        <w:rPr>
          <w:lang w:val="en-GB"/>
        </w:rPr>
        <w:fldChar w:fldCharType="end"/>
      </w:r>
      <w:r>
        <w:rPr>
          <w:lang w:val="en-GB"/>
        </w:rPr>
        <w:t>.  </w:t>
      </w:r>
      <w:r w:rsidR="00DE1463" w:rsidRPr="00DE1463">
        <w:rPr>
          <w:lang w:val="en-GB"/>
        </w:rPr>
        <w:t xml:space="preserve">According to the </w:t>
      </w:r>
      <w:r w:rsidR="00B038DA" w:rsidRPr="00B038DA">
        <w:rPr>
          <w:lang w:val="en-GB"/>
        </w:rPr>
        <w:t>explanatory memorandum</w:t>
      </w:r>
      <w:r w:rsidR="00B038DA">
        <w:rPr>
          <w:i/>
          <w:lang w:val="en-GB"/>
        </w:rPr>
        <w:t xml:space="preserve"> (scheda di lettura)</w:t>
      </w:r>
      <w:r w:rsidR="00DE1463" w:rsidRPr="00DE1463">
        <w:rPr>
          <w:lang w:val="en-GB"/>
        </w:rPr>
        <w:t xml:space="preserve"> in respect of sub-article 6, the amount of premiums and contributions due is arrived at by, firstly, calculating the percentage of exemption applicable according to the different rates provided by sub-article 5 of the text and subsequently subtracting the share, per head, of </w:t>
      </w:r>
      <w:r w:rsidR="00C953B6">
        <w:rPr>
          <w:lang w:val="en-GB"/>
        </w:rPr>
        <w:t xml:space="preserve">the </w:t>
      </w:r>
      <w:r w:rsidR="00DE1463" w:rsidRPr="00DE1463">
        <w:rPr>
          <w:lang w:val="en-GB"/>
        </w:rPr>
        <w:t xml:space="preserve">concession and percentage established in sub-articles 5 and 6 of </w:t>
      </w:r>
      <w:r w:rsidR="00C953B6">
        <w:rPr>
          <w:lang w:val="en-GB"/>
        </w:rPr>
        <w:t>A</w:t>
      </w:r>
      <w:r w:rsidR="00DE1463" w:rsidRPr="00DE1463">
        <w:rPr>
          <w:lang w:val="en-GB"/>
        </w:rPr>
        <w:t>rticle 1 of Legislative Decree 536/1987.</w:t>
      </w:r>
    </w:p>
    <w:p w:rsidR="00DE1463" w:rsidRPr="00E72ABD" w:rsidRDefault="00E72ABD" w:rsidP="009B0194">
      <w:pPr>
        <w:pStyle w:val="ECHRHeading2"/>
        <w:rPr>
          <w:lang w:val="en-GB"/>
        </w:rPr>
      </w:pPr>
      <w:r w:rsidRPr="00E72ABD">
        <w:rPr>
          <w:lang w:val="en-GB"/>
        </w:rPr>
        <w:t>C</w:t>
      </w:r>
      <w:r w:rsidR="009B0194">
        <w:rPr>
          <w:lang w:val="en-GB"/>
        </w:rPr>
        <w:t>.  </w:t>
      </w:r>
      <w:r w:rsidR="00DE1463" w:rsidRPr="00E72ABD">
        <w:rPr>
          <w:lang w:val="en-GB"/>
        </w:rPr>
        <w:t>Law no. 326 of 24 November 2003</w:t>
      </w:r>
    </w:p>
    <w:p w:rsidR="00DE1463" w:rsidRPr="00DE1463" w:rsidRDefault="00E72ABD" w:rsidP="009B0194">
      <w:pPr>
        <w:pStyle w:val="ECHRPara"/>
        <w:rPr>
          <w:lang w:val="en-GB"/>
        </w:rPr>
      </w:pPr>
      <w:r>
        <w:rPr>
          <w:lang w:val="en-GB"/>
        </w:rPr>
        <w:fldChar w:fldCharType="begin"/>
      </w:r>
      <w:r>
        <w:rPr>
          <w:lang w:val="en-GB"/>
        </w:rPr>
        <w:instrText xml:space="preserve"> SEQ level0 \*arabic </w:instrText>
      </w:r>
      <w:r>
        <w:rPr>
          <w:lang w:val="en-GB"/>
        </w:rPr>
        <w:fldChar w:fldCharType="separate"/>
      </w:r>
      <w:r w:rsidR="00D471CA">
        <w:rPr>
          <w:noProof/>
          <w:lang w:val="en-GB"/>
        </w:rPr>
        <w:t>51</w:t>
      </w:r>
      <w:r>
        <w:rPr>
          <w:lang w:val="en-GB"/>
        </w:rPr>
        <w:fldChar w:fldCharType="end"/>
      </w:r>
      <w:r>
        <w:rPr>
          <w:lang w:val="en-GB"/>
        </w:rPr>
        <w:t>.  </w:t>
      </w:r>
      <w:r w:rsidR="00DE1463" w:rsidRPr="00DE1463">
        <w:rPr>
          <w:lang w:val="en-GB"/>
        </w:rPr>
        <w:t>Law no. 326 of 24 November 2003</w:t>
      </w:r>
      <w:r w:rsidR="008A1523">
        <w:rPr>
          <w:lang w:val="en-GB"/>
        </w:rPr>
        <w:t>,</w:t>
      </w:r>
      <w:r w:rsidR="00DE1463" w:rsidRPr="00DE1463">
        <w:rPr>
          <w:lang w:val="en-GB"/>
        </w:rPr>
        <w:t xml:space="preserve"> entitled Urgent </w:t>
      </w:r>
      <w:r w:rsidR="008A1523">
        <w:rPr>
          <w:lang w:val="en-GB"/>
        </w:rPr>
        <w:t>d</w:t>
      </w:r>
      <w:r w:rsidR="008A1523" w:rsidRPr="00DE1463">
        <w:rPr>
          <w:lang w:val="en-GB"/>
        </w:rPr>
        <w:t xml:space="preserve">ispositions </w:t>
      </w:r>
      <w:r w:rsidR="00DE1463" w:rsidRPr="00DE1463">
        <w:rPr>
          <w:lang w:val="en-GB"/>
        </w:rPr>
        <w:t xml:space="preserve">to </w:t>
      </w:r>
      <w:r w:rsidR="008A1523">
        <w:rPr>
          <w:lang w:val="en-GB"/>
        </w:rPr>
        <w:t>f</w:t>
      </w:r>
      <w:r w:rsidR="008A1523" w:rsidRPr="00DE1463">
        <w:rPr>
          <w:lang w:val="en-GB"/>
        </w:rPr>
        <w:t xml:space="preserve">avour </w:t>
      </w:r>
      <w:r w:rsidR="008A1523">
        <w:rPr>
          <w:lang w:val="en-GB"/>
        </w:rPr>
        <w:t>d</w:t>
      </w:r>
      <w:r w:rsidR="008A1523" w:rsidRPr="00DE1463">
        <w:rPr>
          <w:lang w:val="en-GB"/>
        </w:rPr>
        <w:t xml:space="preserve">evelopment </w:t>
      </w:r>
      <w:r w:rsidR="00DE1463" w:rsidRPr="00DE1463">
        <w:rPr>
          <w:lang w:val="en-GB"/>
        </w:rPr>
        <w:t xml:space="preserve">and to adjust the </w:t>
      </w:r>
      <w:r w:rsidR="008A1523">
        <w:rPr>
          <w:lang w:val="en-GB"/>
        </w:rPr>
        <w:t>t</w:t>
      </w:r>
      <w:r w:rsidR="008A1523" w:rsidRPr="00DE1463">
        <w:rPr>
          <w:lang w:val="en-GB"/>
        </w:rPr>
        <w:t xml:space="preserve">rend </w:t>
      </w:r>
      <w:r w:rsidR="00DE1463" w:rsidRPr="00DE1463">
        <w:rPr>
          <w:lang w:val="en-GB"/>
        </w:rPr>
        <w:t xml:space="preserve">in </w:t>
      </w:r>
      <w:r w:rsidR="008A1523">
        <w:rPr>
          <w:lang w:val="en-GB"/>
        </w:rPr>
        <w:t>p</w:t>
      </w:r>
      <w:r w:rsidR="008A1523" w:rsidRPr="00DE1463">
        <w:rPr>
          <w:lang w:val="en-GB"/>
        </w:rPr>
        <w:t xml:space="preserve">ublic </w:t>
      </w:r>
      <w:r w:rsidR="008A1523">
        <w:rPr>
          <w:lang w:val="en-GB"/>
        </w:rPr>
        <w:t>f</w:t>
      </w:r>
      <w:r w:rsidR="008A1523" w:rsidRPr="00DE1463">
        <w:rPr>
          <w:lang w:val="en-GB"/>
        </w:rPr>
        <w:t>inances</w:t>
      </w:r>
      <w:r w:rsidR="00DE1463" w:rsidRPr="00DE1463">
        <w:rPr>
          <w:lang w:val="en-GB"/>
        </w:rPr>
        <w:t>, in so far as relevant, reads as follows:</w:t>
      </w:r>
    </w:p>
    <w:p w:rsidR="00DE1463" w:rsidRPr="00DE1463" w:rsidRDefault="00DE1463" w:rsidP="009B0194">
      <w:pPr>
        <w:pStyle w:val="ECHRParaQuote"/>
        <w:rPr>
          <w:lang w:val="en-GB"/>
        </w:rPr>
      </w:pPr>
      <w:r w:rsidRPr="00DE1463">
        <w:rPr>
          <w:lang w:val="en-GB"/>
        </w:rPr>
        <w:t>“Article 9 sub-article 6 of Law No. 67 of 1988 together with any subsequent modifications, must be interpreted to the effect that the exemption referred to in its sub-article 5 (</w:t>
      </w:r>
      <w:r w:rsidR="00591B3F">
        <w:rPr>
          <w:lang w:val="en-GB"/>
        </w:rPr>
        <w:t>...</w:t>
      </w:r>
      <w:r w:rsidRPr="00DE1463">
        <w:rPr>
          <w:lang w:val="en-GB"/>
        </w:rPr>
        <w:t xml:space="preserve">) cannot be </w:t>
      </w:r>
      <w:r w:rsidR="005F4E38">
        <w:rPr>
          <w:lang w:val="en-GB"/>
        </w:rPr>
        <w:t>accumulated</w:t>
      </w:r>
      <w:r w:rsidRPr="00DE1463">
        <w:rPr>
          <w:lang w:val="en-GB"/>
        </w:rPr>
        <w:t xml:space="preserve"> with the benefits provided for in (</w:t>
      </w:r>
      <w:r w:rsidR="00591B3F">
        <w:rPr>
          <w:lang w:val="en-GB"/>
        </w:rPr>
        <w:t>...</w:t>
      </w:r>
      <w:r w:rsidRPr="00DE1463">
        <w:rPr>
          <w:lang w:val="en-GB"/>
        </w:rPr>
        <w:t>) Law no. 48 of 1988.”</w:t>
      </w:r>
    </w:p>
    <w:p w:rsidR="00DE1463" w:rsidRPr="00DE1463" w:rsidRDefault="00E72ABD" w:rsidP="009B0194">
      <w:pPr>
        <w:pStyle w:val="ECHRPara"/>
        <w:rPr>
          <w:lang w:val="en-GB"/>
        </w:rPr>
      </w:pPr>
      <w:r>
        <w:rPr>
          <w:lang w:val="en-GB"/>
        </w:rPr>
        <w:fldChar w:fldCharType="begin"/>
      </w:r>
      <w:r>
        <w:rPr>
          <w:lang w:val="en-GB"/>
        </w:rPr>
        <w:instrText xml:space="preserve"> SEQ level0 \*arabic </w:instrText>
      </w:r>
      <w:r>
        <w:rPr>
          <w:lang w:val="en-GB"/>
        </w:rPr>
        <w:fldChar w:fldCharType="separate"/>
      </w:r>
      <w:r w:rsidR="00D471CA">
        <w:rPr>
          <w:noProof/>
          <w:lang w:val="en-GB"/>
        </w:rPr>
        <w:t>52</w:t>
      </w:r>
      <w:r>
        <w:rPr>
          <w:lang w:val="en-GB"/>
        </w:rPr>
        <w:fldChar w:fldCharType="end"/>
      </w:r>
      <w:r>
        <w:rPr>
          <w:lang w:val="en-GB"/>
        </w:rPr>
        <w:t>.  </w:t>
      </w:r>
      <w:r w:rsidR="00DE1463" w:rsidRPr="00DE1463">
        <w:rPr>
          <w:lang w:val="en-GB"/>
        </w:rPr>
        <w:t xml:space="preserve">According to the </w:t>
      </w:r>
      <w:r w:rsidR="00DE1463" w:rsidRPr="00006C51">
        <w:rPr>
          <w:i/>
          <w:lang w:val="en-GB"/>
        </w:rPr>
        <w:t>travaux pr</w:t>
      </w:r>
      <w:r w:rsidR="00C414A0">
        <w:rPr>
          <w:rFonts w:cstheme="minorHAnsi"/>
          <w:i/>
          <w:lang w:val="en-GB"/>
        </w:rPr>
        <w:t>é</w:t>
      </w:r>
      <w:r w:rsidR="00DE1463" w:rsidRPr="00006C51">
        <w:rPr>
          <w:i/>
          <w:lang w:val="en-GB"/>
        </w:rPr>
        <w:t>paratoires</w:t>
      </w:r>
      <w:r w:rsidR="00DE1463" w:rsidRPr="00DE1463">
        <w:rPr>
          <w:lang w:val="en-GB"/>
        </w:rPr>
        <w:t xml:space="preserve"> the law provided an authentic interpretation </w:t>
      </w:r>
      <w:r w:rsidR="00B40E1F">
        <w:rPr>
          <w:lang w:val="en-GB"/>
        </w:rPr>
        <w:t>of</w:t>
      </w:r>
      <w:r w:rsidR="00B40E1F" w:rsidRPr="00DE1463">
        <w:rPr>
          <w:lang w:val="en-GB"/>
        </w:rPr>
        <w:t xml:space="preserve"> </w:t>
      </w:r>
      <w:r w:rsidR="00DE1463" w:rsidRPr="00DE1463">
        <w:rPr>
          <w:lang w:val="en-GB"/>
        </w:rPr>
        <w:t xml:space="preserve">the non-cumulability of the two benefits, in relation to which a </w:t>
      </w:r>
      <w:r w:rsidR="00013324">
        <w:rPr>
          <w:lang w:val="en-GB"/>
        </w:rPr>
        <w:t>significant number</w:t>
      </w:r>
      <w:r w:rsidR="00013324" w:rsidRPr="00DE1463">
        <w:rPr>
          <w:lang w:val="en-GB"/>
        </w:rPr>
        <w:t xml:space="preserve"> </w:t>
      </w:r>
      <w:r w:rsidR="00DE1463" w:rsidRPr="00DE1463">
        <w:rPr>
          <w:lang w:val="en-GB"/>
        </w:rPr>
        <w:t xml:space="preserve">of proceedings had been instituted, with </w:t>
      </w:r>
      <w:r w:rsidR="00B40E1F">
        <w:rPr>
          <w:lang w:val="en-GB"/>
        </w:rPr>
        <w:t>the courts</w:t>
      </w:r>
      <w:r w:rsidR="00B40E1F" w:rsidRPr="00DE1463">
        <w:rPr>
          <w:lang w:val="en-GB"/>
        </w:rPr>
        <w:t xml:space="preserve"> </w:t>
      </w:r>
      <w:r w:rsidR="00DE1463" w:rsidRPr="00DE1463">
        <w:rPr>
          <w:lang w:val="en-GB"/>
        </w:rPr>
        <w:t xml:space="preserve">taking the opposite view than that taken and applied in practice by the INPS. Thus, the norm was intended to avoid greater burdens than those which had </w:t>
      </w:r>
      <w:r w:rsidR="002B449A" w:rsidRPr="00DE1463">
        <w:rPr>
          <w:lang w:val="en-GB"/>
        </w:rPr>
        <w:t xml:space="preserve">been </w:t>
      </w:r>
      <w:r w:rsidR="00064F2E">
        <w:rPr>
          <w:lang w:val="en-GB"/>
        </w:rPr>
        <w:t>borne</w:t>
      </w:r>
      <w:r w:rsidR="004C5FA7">
        <w:rPr>
          <w:lang w:val="en-GB"/>
        </w:rPr>
        <w:t xml:space="preserve"> in previous years</w:t>
      </w:r>
      <w:r w:rsidR="00DE1463" w:rsidRPr="00DE1463">
        <w:rPr>
          <w:lang w:val="en-GB"/>
        </w:rPr>
        <w:t>.</w:t>
      </w:r>
    </w:p>
    <w:p w:rsidR="00DE1463" w:rsidRPr="00E72ABD" w:rsidRDefault="00E72ABD" w:rsidP="009B0194">
      <w:pPr>
        <w:pStyle w:val="ECHRHeading2"/>
        <w:rPr>
          <w:lang w:val="en-GB"/>
        </w:rPr>
      </w:pPr>
      <w:r w:rsidRPr="00E72ABD">
        <w:rPr>
          <w:lang w:val="en-GB"/>
        </w:rPr>
        <w:t>D</w:t>
      </w:r>
      <w:r w:rsidR="009B0194">
        <w:rPr>
          <w:lang w:val="en-GB"/>
        </w:rPr>
        <w:t>.  </w:t>
      </w:r>
      <w:r w:rsidR="00DE1463" w:rsidRPr="00E72ABD">
        <w:rPr>
          <w:lang w:val="en-GB"/>
        </w:rPr>
        <w:t>Case-law before the enactment of Law no. 326 of 24 November 2003</w:t>
      </w:r>
    </w:p>
    <w:p w:rsidR="00DE1463" w:rsidRPr="00E72ABD" w:rsidRDefault="00E72ABD" w:rsidP="009B0194">
      <w:pPr>
        <w:pStyle w:val="ECHRHeading3"/>
        <w:rPr>
          <w:lang w:val="en-GB"/>
        </w:rPr>
      </w:pPr>
      <w:r w:rsidRPr="00E72ABD">
        <w:rPr>
          <w:lang w:val="en-GB"/>
        </w:rPr>
        <w:t>1.</w:t>
      </w:r>
      <w:r w:rsidR="009B0194">
        <w:rPr>
          <w:lang w:val="en-GB"/>
        </w:rPr>
        <w:t>  </w:t>
      </w:r>
      <w:r w:rsidR="00DE1463" w:rsidRPr="00E72ABD">
        <w:rPr>
          <w:lang w:val="en-GB"/>
        </w:rPr>
        <w:t>Court of Cassation judgment no. 14227/00 of 14 July 2000 filed in the relevant registry on 27 October 2000</w:t>
      </w:r>
      <w:r w:rsidR="006B22C0">
        <w:rPr>
          <w:lang w:val="en-GB"/>
        </w:rPr>
        <w:t xml:space="preserve"> in the case of Floramiata Spa</w:t>
      </w:r>
      <w:r w:rsidR="00BB1E8A">
        <w:rPr>
          <w:lang w:val="en-GB"/>
        </w:rPr>
        <w:t xml:space="preserve"> (</w:t>
      </w:r>
      <w:r w:rsidR="006E72FD">
        <w:rPr>
          <w:lang w:val="en-GB"/>
        </w:rPr>
        <w:t>uphold</w:t>
      </w:r>
      <w:r w:rsidR="00BB1E8A">
        <w:rPr>
          <w:lang w:val="en-GB"/>
        </w:rPr>
        <w:t>ing first-instance</w:t>
      </w:r>
      <w:r w:rsidR="00BB1E8A" w:rsidRPr="00BB1E8A">
        <w:rPr>
          <w:szCs w:val="24"/>
          <w:lang w:val="en-GB"/>
        </w:rPr>
        <w:t xml:space="preserve"> judgment no. 267/1996 of 31 Octobe</w:t>
      </w:r>
      <w:r w:rsidR="00BB1E8A">
        <w:rPr>
          <w:szCs w:val="24"/>
          <w:lang w:val="en-GB"/>
        </w:rPr>
        <w:t xml:space="preserve">r 1996 and </w:t>
      </w:r>
      <w:r w:rsidR="00B40E1F">
        <w:rPr>
          <w:szCs w:val="24"/>
          <w:lang w:val="en-GB"/>
        </w:rPr>
        <w:t>judgment</w:t>
      </w:r>
      <w:r w:rsidR="00B40E1F" w:rsidDel="00B40E1F">
        <w:rPr>
          <w:szCs w:val="24"/>
          <w:lang w:val="en-GB"/>
        </w:rPr>
        <w:t xml:space="preserve"> </w:t>
      </w:r>
      <w:r w:rsidR="00B40E1F">
        <w:rPr>
          <w:szCs w:val="24"/>
          <w:lang w:val="en-GB"/>
        </w:rPr>
        <w:t xml:space="preserve">on </w:t>
      </w:r>
      <w:r w:rsidR="00BB1E8A">
        <w:rPr>
          <w:szCs w:val="24"/>
          <w:lang w:val="en-GB"/>
        </w:rPr>
        <w:t>appeal no. 85/1998 of 8 February 1998).</w:t>
      </w:r>
    </w:p>
    <w:p w:rsidR="00DE1463" w:rsidRPr="00DE1463" w:rsidRDefault="00E72ABD" w:rsidP="009B0194">
      <w:pPr>
        <w:pStyle w:val="ECHRPara"/>
        <w:rPr>
          <w:lang w:val="en-GB"/>
        </w:rPr>
      </w:pPr>
      <w:r>
        <w:rPr>
          <w:lang w:val="en-GB"/>
        </w:rPr>
        <w:fldChar w:fldCharType="begin"/>
      </w:r>
      <w:r>
        <w:rPr>
          <w:lang w:val="en-GB"/>
        </w:rPr>
        <w:instrText xml:space="preserve"> SEQ level0 \*arabic </w:instrText>
      </w:r>
      <w:r>
        <w:rPr>
          <w:lang w:val="en-GB"/>
        </w:rPr>
        <w:fldChar w:fldCharType="separate"/>
      </w:r>
      <w:r w:rsidR="00D471CA">
        <w:rPr>
          <w:noProof/>
          <w:lang w:val="en-GB"/>
        </w:rPr>
        <w:t>53</w:t>
      </w:r>
      <w:r>
        <w:rPr>
          <w:lang w:val="en-GB"/>
        </w:rPr>
        <w:fldChar w:fldCharType="end"/>
      </w:r>
      <w:r>
        <w:rPr>
          <w:lang w:val="en-GB"/>
        </w:rPr>
        <w:t>.  </w:t>
      </w:r>
      <w:r w:rsidR="00DE1463" w:rsidRPr="00DE1463">
        <w:rPr>
          <w:lang w:val="en-GB"/>
        </w:rPr>
        <w:t>The Court of Cassation held that the two benefits (concession</w:t>
      </w:r>
      <w:r w:rsidR="009C2C58">
        <w:rPr>
          <w:lang w:val="en-GB"/>
        </w:rPr>
        <w:t>s</w:t>
      </w:r>
      <w:r w:rsidR="00DE1463" w:rsidRPr="00DE1463">
        <w:rPr>
          <w:lang w:val="en-GB"/>
        </w:rPr>
        <w:t xml:space="preserve"> and exemptions) were not incompatible. They had been provided for by different laws and had different aims. Thus, if a firm fulfilled the requirements to be eligible for both benefits, they could not be denied. It considered that the INPS had not submitted any relevant arguments, save </w:t>
      </w:r>
      <w:r w:rsidR="009C2C58">
        <w:rPr>
          <w:lang w:val="en-GB"/>
        </w:rPr>
        <w:t>for a</w:t>
      </w:r>
      <w:r w:rsidR="009C2C58" w:rsidRPr="00DE1463">
        <w:rPr>
          <w:lang w:val="en-GB"/>
        </w:rPr>
        <w:t xml:space="preserve"> </w:t>
      </w:r>
      <w:r w:rsidR="00DE1463" w:rsidRPr="00DE1463">
        <w:rPr>
          <w:lang w:val="en-GB"/>
        </w:rPr>
        <w:t xml:space="preserve">reiteration of the text of the impugned law. According to the Court of Cassation, by means of </w:t>
      </w:r>
      <w:r w:rsidR="009C2C58">
        <w:rPr>
          <w:lang w:val="en-GB"/>
        </w:rPr>
        <w:t>A</w:t>
      </w:r>
      <w:r w:rsidR="00DE1463" w:rsidRPr="00DE1463">
        <w:rPr>
          <w:lang w:val="en-GB"/>
        </w:rPr>
        <w:t>rticle 9</w:t>
      </w:r>
      <w:r w:rsidR="009C2C58">
        <w:rPr>
          <w:lang w:val="en-GB"/>
        </w:rPr>
        <w:t>(</w:t>
      </w:r>
      <w:r w:rsidR="00DE1463" w:rsidRPr="00DE1463">
        <w:rPr>
          <w:lang w:val="en-GB"/>
        </w:rPr>
        <w:t>6</w:t>
      </w:r>
      <w:r w:rsidR="009C2C58">
        <w:rPr>
          <w:lang w:val="en-GB"/>
        </w:rPr>
        <w:t>)</w:t>
      </w:r>
      <w:r w:rsidR="00DE1463" w:rsidRPr="00DE1463">
        <w:rPr>
          <w:lang w:val="en-GB"/>
        </w:rPr>
        <w:t xml:space="preserve"> of Law No. 67 of 1988, the legislator </w:t>
      </w:r>
      <w:r w:rsidR="009C2C58">
        <w:rPr>
          <w:lang w:val="en-GB"/>
        </w:rPr>
        <w:t>had wished</w:t>
      </w:r>
      <w:r w:rsidR="009C2C58" w:rsidRPr="00DE1463">
        <w:rPr>
          <w:lang w:val="en-GB"/>
        </w:rPr>
        <w:t xml:space="preserve"> </w:t>
      </w:r>
      <w:r w:rsidR="00DE1463" w:rsidRPr="00DE1463">
        <w:rPr>
          <w:lang w:val="en-GB"/>
        </w:rPr>
        <w:t xml:space="preserve">to specify that the exemption was to be applied </w:t>
      </w:r>
      <w:r w:rsidR="009C2C58">
        <w:rPr>
          <w:lang w:val="en-GB"/>
        </w:rPr>
        <w:t>to</w:t>
      </w:r>
      <w:r w:rsidR="009C2C58" w:rsidRPr="00DE1463">
        <w:rPr>
          <w:lang w:val="en-GB"/>
        </w:rPr>
        <w:t xml:space="preserve"> </w:t>
      </w:r>
      <w:r w:rsidR="00DE1463" w:rsidRPr="00DE1463">
        <w:rPr>
          <w:lang w:val="en-GB"/>
        </w:rPr>
        <w:t xml:space="preserve">the entire rate and not </w:t>
      </w:r>
      <w:r w:rsidR="009C2C58">
        <w:rPr>
          <w:lang w:val="en-GB"/>
        </w:rPr>
        <w:t>to</w:t>
      </w:r>
      <w:r w:rsidR="009C2C58" w:rsidRPr="00DE1463">
        <w:rPr>
          <w:lang w:val="en-GB"/>
        </w:rPr>
        <w:t xml:space="preserve"> </w:t>
      </w:r>
      <w:r w:rsidR="00DE1463" w:rsidRPr="00DE1463">
        <w:rPr>
          <w:lang w:val="en-GB"/>
        </w:rPr>
        <w:t xml:space="preserve">the rate resulting after concession, thus excluding the incompatibility of the two benefits and presupposing the enjoyment of both contemporaneously. The Court of Cassation noted that when the legislator had </w:t>
      </w:r>
      <w:r w:rsidR="009C2C58">
        <w:rPr>
          <w:lang w:val="en-GB"/>
        </w:rPr>
        <w:t>wished</w:t>
      </w:r>
      <w:r w:rsidR="009C2C58" w:rsidRPr="00DE1463">
        <w:rPr>
          <w:lang w:val="en-GB"/>
        </w:rPr>
        <w:t xml:space="preserve"> </w:t>
      </w:r>
      <w:r w:rsidR="00DE1463" w:rsidRPr="00DE1463">
        <w:rPr>
          <w:lang w:val="en-GB"/>
        </w:rPr>
        <w:t xml:space="preserve">to exclude </w:t>
      </w:r>
      <w:r w:rsidR="00700222">
        <w:rPr>
          <w:lang w:val="en-GB"/>
        </w:rPr>
        <w:t xml:space="preserve">the application of the </w:t>
      </w:r>
      <w:r w:rsidR="00700222" w:rsidRPr="00DE1463">
        <w:rPr>
          <w:lang w:val="en-GB"/>
        </w:rPr>
        <w:t>concession</w:t>
      </w:r>
      <w:r w:rsidR="00700222">
        <w:rPr>
          <w:lang w:val="en-GB"/>
        </w:rPr>
        <w:t xml:space="preserve"> to </w:t>
      </w:r>
      <w:r w:rsidR="00DE1463" w:rsidRPr="00DE1463">
        <w:rPr>
          <w:lang w:val="en-GB"/>
        </w:rPr>
        <w:t>employers operating in the South</w:t>
      </w:r>
      <w:r w:rsidR="00700222">
        <w:rPr>
          <w:lang w:val="en-GB"/>
        </w:rPr>
        <w:t>,</w:t>
      </w:r>
      <w:r w:rsidR="00DE1463" w:rsidRPr="00DE1463">
        <w:rPr>
          <w:lang w:val="en-GB"/>
        </w:rPr>
        <w:t xml:space="preserve"> it had specifically done so (as in Legislative decree no. 536 of 1987). However, the legislator had </w:t>
      </w:r>
      <w:r w:rsidR="00FF4810">
        <w:rPr>
          <w:lang w:val="en-GB"/>
        </w:rPr>
        <w:t>made no mention</w:t>
      </w:r>
      <w:r w:rsidR="00DE1463" w:rsidRPr="00DE1463">
        <w:rPr>
          <w:lang w:val="en-GB"/>
        </w:rPr>
        <w:t xml:space="preserve"> of employers operating in disadvantaged areas in the North.</w:t>
      </w:r>
    </w:p>
    <w:p w:rsidR="00DE1463" w:rsidRPr="00E72ABD" w:rsidRDefault="00E72ABD" w:rsidP="009B0194">
      <w:pPr>
        <w:pStyle w:val="ECHRHeading3"/>
        <w:rPr>
          <w:lang w:val="en-GB"/>
        </w:rPr>
      </w:pPr>
      <w:r w:rsidRPr="00E72ABD">
        <w:rPr>
          <w:lang w:val="en-GB"/>
        </w:rPr>
        <w:t>2.</w:t>
      </w:r>
      <w:r w:rsidR="009B0194">
        <w:rPr>
          <w:lang w:val="en-GB"/>
        </w:rPr>
        <w:t>  </w:t>
      </w:r>
      <w:r w:rsidR="00DE1463" w:rsidRPr="00E72ABD">
        <w:rPr>
          <w:lang w:val="en-GB"/>
        </w:rPr>
        <w:t>Court of Cassation judgment no. 17806/03 of 26 May 2003 filed in the relevant registry on 24 November 2003</w:t>
      </w:r>
    </w:p>
    <w:p w:rsidR="00632A2E" w:rsidRDefault="00E72ABD" w:rsidP="009B0194">
      <w:pPr>
        <w:pStyle w:val="ECHRPara"/>
        <w:rPr>
          <w:lang w:val="en-GB"/>
        </w:rPr>
      </w:pPr>
      <w:r>
        <w:rPr>
          <w:lang w:val="en-GB"/>
        </w:rPr>
        <w:fldChar w:fldCharType="begin"/>
      </w:r>
      <w:r>
        <w:rPr>
          <w:lang w:val="en-GB"/>
        </w:rPr>
        <w:instrText xml:space="preserve"> SEQ level0 \*arabic </w:instrText>
      </w:r>
      <w:r>
        <w:rPr>
          <w:lang w:val="en-GB"/>
        </w:rPr>
        <w:fldChar w:fldCharType="separate"/>
      </w:r>
      <w:r w:rsidR="00D471CA">
        <w:rPr>
          <w:noProof/>
          <w:lang w:val="en-GB"/>
        </w:rPr>
        <w:t>54</w:t>
      </w:r>
      <w:r>
        <w:rPr>
          <w:lang w:val="en-GB"/>
        </w:rPr>
        <w:fldChar w:fldCharType="end"/>
      </w:r>
      <w:r>
        <w:rPr>
          <w:lang w:val="en-GB"/>
        </w:rPr>
        <w:t>.  </w:t>
      </w:r>
      <w:r w:rsidR="00DE1463" w:rsidRPr="00DE1463">
        <w:rPr>
          <w:lang w:val="en-GB"/>
        </w:rPr>
        <w:t xml:space="preserve">The Court of Cassation reiterated </w:t>
      </w:r>
      <w:r w:rsidR="002A4EC9">
        <w:rPr>
          <w:lang w:val="en-GB"/>
        </w:rPr>
        <w:t>its</w:t>
      </w:r>
      <w:r w:rsidR="002A4EC9" w:rsidRPr="00DE1463">
        <w:rPr>
          <w:lang w:val="en-GB"/>
        </w:rPr>
        <w:t xml:space="preserve"> </w:t>
      </w:r>
      <w:r w:rsidR="00DE1463" w:rsidRPr="00DE1463">
        <w:rPr>
          <w:lang w:val="en-GB"/>
        </w:rPr>
        <w:t xml:space="preserve">finding in judgment </w:t>
      </w:r>
      <w:r w:rsidR="009B0194">
        <w:rPr>
          <w:lang w:val="en-GB"/>
        </w:rPr>
        <w:t>no. </w:t>
      </w:r>
      <w:r w:rsidR="00DE1463" w:rsidRPr="00DE1463">
        <w:rPr>
          <w:lang w:val="en-GB"/>
        </w:rPr>
        <w:t xml:space="preserve">14227/00 of 27 October 2000 (above), considering that there </w:t>
      </w:r>
      <w:r w:rsidR="002A4EC9">
        <w:rPr>
          <w:lang w:val="en-GB"/>
        </w:rPr>
        <w:t>was</w:t>
      </w:r>
      <w:r w:rsidR="00DE1463" w:rsidRPr="00DE1463">
        <w:rPr>
          <w:lang w:val="en-GB"/>
        </w:rPr>
        <w:t xml:space="preserve"> no reason to depart from those conclusions. Moreover, it noted that the theory that, in general, benefits could not be granted cumulatively had been proved false even by </w:t>
      </w:r>
      <w:r w:rsidR="002A4EC9">
        <w:rPr>
          <w:lang w:val="en-GB"/>
        </w:rPr>
        <w:t>A</w:t>
      </w:r>
      <w:r w:rsidR="00DE1463" w:rsidRPr="00DE1463">
        <w:rPr>
          <w:lang w:val="en-GB"/>
        </w:rPr>
        <w:t>rticle 68 of Legislative Decree No. 388 of 2000</w:t>
      </w:r>
      <w:r w:rsidR="002A4EC9">
        <w:rPr>
          <w:lang w:val="en-GB"/>
        </w:rPr>
        <w:t>,</w:t>
      </w:r>
      <w:r w:rsidR="00DE1463" w:rsidRPr="00DE1463">
        <w:rPr>
          <w:lang w:val="en-GB"/>
        </w:rPr>
        <w:t xml:space="preserve"> which explicitly mentioned that certain benefits could not be granted cumulatively. Had it been a general principle no explicit statement by the legislator would have been required.</w:t>
      </w:r>
    </w:p>
    <w:p w:rsidR="00DE1463" w:rsidRPr="00E72ABD" w:rsidRDefault="00E72ABD" w:rsidP="009B0194">
      <w:pPr>
        <w:pStyle w:val="ECHRHeading2"/>
        <w:rPr>
          <w:lang w:val="en-GB"/>
        </w:rPr>
      </w:pPr>
      <w:r w:rsidRPr="00E72ABD">
        <w:rPr>
          <w:lang w:val="en-GB"/>
        </w:rPr>
        <w:t>E</w:t>
      </w:r>
      <w:r w:rsidR="009B0194">
        <w:rPr>
          <w:lang w:val="en-GB"/>
        </w:rPr>
        <w:t>.  </w:t>
      </w:r>
      <w:r w:rsidR="00DE1463" w:rsidRPr="00E72ABD">
        <w:rPr>
          <w:lang w:val="en-GB"/>
        </w:rPr>
        <w:t>Constitutional Court judgment no. 274 of 7 July 2006 regarding the constitutionality of Law no. 32</w:t>
      </w:r>
      <w:r w:rsidR="003717A6">
        <w:rPr>
          <w:lang w:val="en-GB"/>
        </w:rPr>
        <w:t>6 of 24 November 2003</w:t>
      </w:r>
    </w:p>
    <w:p w:rsidR="00632A2E" w:rsidRDefault="00E81D9B" w:rsidP="009B0194">
      <w:pPr>
        <w:pStyle w:val="ECHRPara"/>
        <w:rPr>
          <w:lang w:val="en-GB"/>
        </w:rPr>
      </w:pPr>
      <w:r>
        <w:rPr>
          <w:lang w:val="en-GB"/>
        </w:rPr>
        <w:fldChar w:fldCharType="begin"/>
      </w:r>
      <w:r>
        <w:rPr>
          <w:lang w:val="en-GB"/>
        </w:rPr>
        <w:instrText xml:space="preserve"> SEQ level0 \*arabic </w:instrText>
      </w:r>
      <w:r>
        <w:rPr>
          <w:lang w:val="en-GB"/>
        </w:rPr>
        <w:fldChar w:fldCharType="separate"/>
      </w:r>
      <w:r w:rsidR="00D471CA">
        <w:rPr>
          <w:noProof/>
          <w:lang w:val="en-GB"/>
        </w:rPr>
        <w:t>55</w:t>
      </w:r>
      <w:r>
        <w:rPr>
          <w:lang w:val="en-GB"/>
        </w:rPr>
        <w:fldChar w:fldCharType="end"/>
      </w:r>
      <w:r>
        <w:rPr>
          <w:lang w:val="en-GB"/>
        </w:rPr>
        <w:t>.  </w:t>
      </w:r>
      <w:r w:rsidR="00DE1463" w:rsidRPr="00DE1463">
        <w:rPr>
          <w:lang w:val="en-GB"/>
        </w:rPr>
        <w:t xml:space="preserve">The Constitutional Court noted that the legislator had intervened due to the uncertainty created by a </w:t>
      </w:r>
      <w:r w:rsidR="00FF4810">
        <w:rPr>
          <w:lang w:val="en-GB"/>
        </w:rPr>
        <w:t>well-established</w:t>
      </w:r>
      <w:r w:rsidR="00FF4810" w:rsidRPr="00DE1463">
        <w:rPr>
          <w:lang w:val="en-GB"/>
        </w:rPr>
        <w:t xml:space="preserve"> </w:t>
      </w:r>
      <w:r w:rsidR="00DE1463" w:rsidRPr="00DE1463">
        <w:rPr>
          <w:lang w:val="en-GB"/>
        </w:rPr>
        <w:t xml:space="preserve">administrative practice and supervening </w:t>
      </w:r>
      <w:r w:rsidR="00FF4810">
        <w:rPr>
          <w:lang w:val="en-GB"/>
        </w:rPr>
        <w:t>case-law</w:t>
      </w:r>
      <w:r w:rsidR="00FF4810" w:rsidRPr="00DE1463">
        <w:rPr>
          <w:lang w:val="en-GB"/>
        </w:rPr>
        <w:t xml:space="preserve"> </w:t>
      </w:r>
      <w:r w:rsidR="00DE1463" w:rsidRPr="00DE1463">
        <w:rPr>
          <w:lang w:val="en-GB"/>
        </w:rPr>
        <w:t>to the contrary</w:t>
      </w:r>
      <w:r w:rsidR="002A2457">
        <w:rPr>
          <w:lang w:val="en-GB"/>
        </w:rPr>
        <w:t xml:space="preserve"> ten years later</w:t>
      </w:r>
      <w:r w:rsidR="00DE1463" w:rsidRPr="00DE1463">
        <w:rPr>
          <w:lang w:val="en-GB"/>
        </w:rPr>
        <w:t>. It considered that it was not necessary to verify whether the enacted law had been interpretative (thus retroactive) or innovative with retroactive effect. Indeed</w:t>
      </w:r>
      <w:r w:rsidR="00FF4810">
        <w:rPr>
          <w:lang w:val="en-GB"/>
        </w:rPr>
        <w:t>,</w:t>
      </w:r>
      <w:r w:rsidR="00DE1463" w:rsidRPr="00DE1463">
        <w:rPr>
          <w:lang w:val="en-GB"/>
        </w:rPr>
        <w:t xml:space="preserve"> the prohibition on applying laws retroactively was a constitutional norm only applicable to the criminal sphere. It considered that the legislator could enact both laws of authentic interpretation – which clarify and determine the extent of the original norm within the content of what was originally plausibly provided –</w:t>
      </w:r>
      <w:r w:rsidR="00FF4810">
        <w:rPr>
          <w:lang w:val="en-GB"/>
        </w:rPr>
        <w:t xml:space="preserve"> </w:t>
      </w:r>
      <w:r w:rsidR="00DE1463" w:rsidRPr="00DE1463">
        <w:rPr>
          <w:lang w:val="en-GB"/>
        </w:rPr>
        <w:t xml:space="preserve">and innovative ones </w:t>
      </w:r>
      <w:r w:rsidR="00FF4810">
        <w:rPr>
          <w:lang w:val="en-GB"/>
        </w:rPr>
        <w:t>with</w:t>
      </w:r>
      <w:r w:rsidR="00FF4810" w:rsidRPr="00DE1463">
        <w:rPr>
          <w:lang w:val="en-GB"/>
        </w:rPr>
        <w:t xml:space="preserve"> </w:t>
      </w:r>
      <w:r w:rsidR="00DE1463" w:rsidRPr="00DE1463">
        <w:rPr>
          <w:lang w:val="en-GB"/>
        </w:rPr>
        <w:t xml:space="preserve">retroactive effect in so far as such retroactivity was reasonably justified and not in </w:t>
      </w:r>
      <w:r w:rsidR="00FF4810">
        <w:rPr>
          <w:lang w:val="en-GB"/>
        </w:rPr>
        <w:t>conflict</w:t>
      </w:r>
      <w:r w:rsidR="00FF4810" w:rsidRPr="00DE1463">
        <w:rPr>
          <w:lang w:val="en-GB"/>
        </w:rPr>
        <w:t xml:space="preserve"> </w:t>
      </w:r>
      <w:r w:rsidR="00DE1463" w:rsidRPr="00DE1463">
        <w:rPr>
          <w:lang w:val="en-GB"/>
        </w:rPr>
        <w:t xml:space="preserve">with other values and interests protected by the Constitution. The Constitutional Court noted that a law of authentic interpretation could not be unreasonable in so far as it was limited to assigning to the provision to be interpreted a meaning which was already therein contained and which was one of the possible meanings of the original text. Indeed, in the present case, the prohibition on applying the benefits cumulatively had been one of the possible interpretations of </w:t>
      </w:r>
      <w:r w:rsidR="00FF4810">
        <w:rPr>
          <w:lang w:val="en-GB"/>
        </w:rPr>
        <w:t>A</w:t>
      </w:r>
      <w:r w:rsidR="00DE1463" w:rsidRPr="00DE1463">
        <w:rPr>
          <w:lang w:val="en-GB"/>
        </w:rPr>
        <w:t>rticle 9</w:t>
      </w:r>
      <w:r w:rsidR="00FF4810">
        <w:rPr>
          <w:lang w:val="en-GB"/>
        </w:rPr>
        <w:t>(</w:t>
      </w:r>
      <w:r w:rsidR="00DE1463" w:rsidRPr="00DE1463">
        <w:rPr>
          <w:lang w:val="en-GB"/>
        </w:rPr>
        <w:t>6</w:t>
      </w:r>
      <w:r w:rsidR="00FF4810">
        <w:rPr>
          <w:lang w:val="en-GB"/>
        </w:rPr>
        <w:t>)</w:t>
      </w:r>
      <w:r w:rsidR="00DE1463" w:rsidRPr="00DE1463">
        <w:rPr>
          <w:lang w:val="en-GB"/>
        </w:rPr>
        <w:t xml:space="preserve"> of Law No. 67 of 1988 which had immediately </w:t>
      </w:r>
      <w:r w:rsidR="00FF4810" w:rsidRPr="00DE1463">
        <w:rPr>
          <w:lang w:val="en-GB"/>
        </w:rPr>
        <w:t xml:space="preserve">been </w:t>
      </w:r>
      <w:r w:rsidR="00DE1463" w:rsidRPr="00DE1463">
        <w:rPr>
          <w:lang w:val="en-GB"/>
        </w:rPr>
        <w:t>contested by the INPS but which ten years later had been given another, indeed possible, meaning by the Court of Cassation. Given this state of uncertainty</w:t>
      </w:r>
      <w:r w:rsidR="00E44A68">
        <w:rPr>
          <w:lang w:val="en-GB"/>
        </w:rPr>
        <w:t>,</w:t>
      </w:r>
      <w:r w:rsidR="00DE1463" w:rsidRPr="00DE1463">
        <w:rPr>
          <w:lang w:val="en-GB"/>
        </w:rPr>
        <w:t xml:space="preserve"> the impugned law of authentic interpretation could not be considered unreasonable.</w:t>
      </w:r>
    </w:p>
    <w:p w:rsidR="009B605B" w:rsidRPr="0055733C" w:rsidRDefault="009B605B" w:rsidP="009B0194">
      <w:pPr>
        <w:pStyle w:val="ECHRHeading2"/>
        <w:rPr>
          <w:lang w:val="en-GB"/>
        </w:rPr>
      </w:pPr>
      <w:r w:rsidRPr="0055733C">
        <w:rPr>
          <w:lang w:val="en-GB"/>
        </w:rPr>
        <w:t>F.</w:t>
      </w:r>
      <w:r w:rsidR="009B0194">
        <w:rPr>
          <w:lang w:val="en-GB"/>
        </w:rPr>
        <w:t>  </w:t>
      </w:r>
      <w:r w:rsidR="0001799D" w:rsidRPr="0055733C">
        <w:rPr>
          <w:lang w:val="en-GB"/>
        </w:rPr>
        <w:t>More recent case</w:t>
      </w:r>
      <w:r w:rsidR="00FF4810">
        <w:rPr>
          <w:lang w:val="en-GB"/>
        </w:rPr>
        <w:t>-</w:t>
      </w:r>
      <w:r w:rsidR="0001799D" w:rsidRPr="0055733C">
        <w:rPr>
          <w:lang w:val="en-GB"/>
        </w:rPr>
        <w:t xml:space="preserve">law - </w:t>
      </w:r>
      <w:r w:rsidRPr="0055733C">
        <w:rPr>
          <w:lang w:val="en-GB"/>
        </w:rPr>
        <w:t>Court</w:t>
      </w:r>
      <w:r w:rsidR="00C00FE9" w:rsidRPr="0055733C">
        <w:rPr>
          <w:lang w:val="en-GB"/>
        </w:rPr>
        <w:t xml:space="preserve"> of Cassation judgment no. 21692</w:t>
      </w:r>
      <w:r w:rsidR="0055733C" w:rsidRPr="0055733C">
        <w:rPr>
          <w:lang w:val="en-GB"/>
        </w:rPr>
        <w:t xml:space="preserve"> of 25 June 2008</w:t>
      </w:r>
    </w:p>
    <w:p w:rsidR="00632A2E" w:rsidRDefault="009B605B" w:rsidP="009B0194">
      <w:pPr>
        <w:pStyle w:val="ECHRPara"/>
        <w:rPr>
          <w:lang w:val="en-GB"/>
        </w:rPr>
      </w:pPr>
      <w:r w:rsidRPr="00E44A68">
        <w:fldChar w:fldCharType="begin"/>
      </w:r>
      <w:r w:rsidRPr="00E44A68">
        <w:rPr>
          <w:lang w:val="en-GB"/>
        </w:rPr>
        <w:instrText xml:space="preserve"> SEQ level0 \*arabic </w:instrText>
      </w:r>
      <w:r w:rsidRPr="00E44A68">
        <w:fldChar w:fldCharType="separate"/>
      </w:r>
      <w:r w:rsidR="00D471CA">
        <w:rPr>
          <w:noProof/>
          <w:lang w:val="en-GB"/>
        </w:rPr>
        <w:t>56</w:t>
      </w:r>
      <w:r w:rsidRPr="00E44A68">
        <w:fldChar w:fldCharType="end"/>
      </w:r>
      <w:r w:rsidRPr="00E44A68">
        <w:rPr>
          <w:lang w:val="en-GB"/>
        </w:rPr>
        <w:t>.  In this judgment the</w:t>
      </w:r>
      <w:r w:rsidR="005E3603" w:rsidRPr="00E44A68">
        <w:rPr>
          <w:lang w:val="en-GB"/>
        </w:rPr>
        <w:t xml:space="preserve"> domestic</w:t>
      </w:r>
      <w:r w:rsidRPr="00E44A68">
        <w:rPr>
          <w:lang w:val="en-GB"/>
        </w:rPr>
        <w:t xml:space="preserve"> court was again faced with the interpretation of the laws concerning the cumulability of benefits</w:t>
      </w:r>
      <w:r w:rsidR="005E3603" w:rsidRPr="00E44A68">
        <w:rPr>
          <w:lang w:val="en-GB"/>
        </w:rPr>
        <w:t>, the constitutional</w:t>
      </w:r>
      <w:r w:rsidR="00E44A68" w:rsidRPr="00E44A68">
        <w:rPr>
          <w:lang w:val="en-GB"/>
        </w:rPr>
        <w:t>ity of L</w:t>
      </w:r>
      <w:r w:rsidR="005E3603" w:rsidRPr="00E44A68">
        <w:rPr>
          <w:lang w:val="en-GB"/>
        </w:rPr>
        <w:t>aw no. 326/2003 and the subsequent implications under Article 6 of the Convention</w:t>
      </w:r>
      <w:r w:rsidRPr="00E44A68">
        <w:rPr>
          <w:lang w:val="en-GB"/>
        </w:rPr>
        <w:t>.</w:t>
      </w:r>
    </w:p>
    <w:p w:rsidR="00632A2E" w:rsidRDefault="00E44A68" w:rsidP="009B0194">
      <w:pPr>
        <w:pStyle w:val="ECHRPara"/>
        <w:rPr>
          <w:lang w:val="en-GB"/>
        </w:rPr>
      </w:pPr>
      <w:r w:rsidRPr="00E44A68">
        <w:rPr>
          <w:lang w:val="en-GB"/>
        </w:rPr>
        <w:fldChar w:fldCharType="begin"/>
      </w:r>
      <w:r w:rsidRPr="00E44A68">
        <w:rPr>
          <w:lang w:val="en-GB"/>
        </w:rPr>
        <w:instrText xml:space="preserve"> SEQ level0 \*arabic </w:instrText>
      </w:r>
      <w:r w:rsidRPr="00E44A68">
        <w:rPr>
          <w:lang w:val="en-GB"/>
        </w:rPr>
        <w:fldChar w:fldCharType="separate"/>
      </w:r>
      <w:r w:rsidR="00D471CA">
        <w:rPr>
          <w:noProof/>
          <w:lang w:val="en-GB"/>
        </w:rPr>
        <w:t>57</w:t>
      </w:r>
      <w:r w:rsidRPr="00E44A68">
        <w:rPr>
          <w:lang w:val="en-GB"/>
        </w:rPr>
        <w:fldChar w:fldCharType="end"/>
      </w:r>
      <w:r w:rsidRPr="00E44A68">
        <w:rPr>
          <w:lang w:val="en-GB"/>
        </w:rPr>
        <w:t>.  </w:t>
      </w:r>
      <w:r w:rsidR="00FF4810">
        <w:rPr>
          <w:lang w:val="en-GB"/>
        </w:rPr>
        <w:t>Confirming</w:t>
      </w:r>
      <w:r w:rsidR="00FF4810" w:rsidRPr="00E44A68">
        <w:rPr>
          <w:lang w:val="en-GB"/>
        </w:rPr>
        <w:t xml:space="preserve"> </w:t>
      </w:r>
      <w:r w:rsidR="005E3603" w:rsidRPr="00E44A68">
        <w:rPr>
          <w:lang w:val="en-GB"/>
        </w:rPr>
        <w:t>the interpretative nature of Law no. 326/2003, i</w:t>
      </w:r>
      <w:r w:rsidR="009B605B" w:rsidRPr="00E44A68">
        <w:rPr>
          <w:lang w:val="en-GB"/>
        </w:rPr>
        <w:t xml:space="preserve">t considered that even </w:t>
      </w:r>
      <w:r w:rsidR="006E72FD">
        <w:rPr>
          <w:lang w:val="en-GB"/>
        </w:rPr>
        <w:t>if</w:t>
      </w:r>
      <w:r w:rsidR="009B605B" w:rsidRPr="00E44A68">
        <w:rPr>
          <w:lang w:val="en-GB"/>
        </w:rPr>
        <w:t xml:space="preserve"> </w:t>
      </w:r>
      <w:r w:rsidR="006E72FD">
        <w:rPr>
          <w:lang w:val="en-GB"/>
        </w:rPr>
        <w:t>the</w:t>
      </w:r>
      <w:r w:rsidR="005E3603" w:rsidRPr="00E44A68">
        <w:rPr>
          <w:lang w:val="en-GB"/>
        </w:rPr>
        <w:t xml:space="preserve"> law</w:t>
      </w:r>
      <w:r w:rsidR="006E72FD">
        <w:rPr>
          <w:lang w:val="en-GB"/>
        </w:rPr>
        <w:t xml:space="preserve"> were ignored</w:t>
      </w:r>
      <w:r w:rsidR="009B605B" w:rsidRPr="00E44A68">
        <w:rPr>
          <w:lang w:val="en-GB"/>
        </w:rPr>
        <w:t xml:space="preserve">, the interpretation </w:t>
      </w:r>
      <w:r w:rsidR="006B22C0" w:rsidRPr="00E44A68">
        <w:rPr>
          <w:lang w:val="en-GB"/>
        </w:rPr>
        <w:t>(</w:t>
      </w:r>
      <w:r w:rsidR="009B605B" w:rsidRPr="00E44A68">
        <w:rPr>
          <w:lang w:val="en-GB"/>
        </w:rPr>
        <w:t xml:space="preserve">of the relevant </w:t>
      </w:r>
      <w:r w:rsidR="006B22C0" w:rsidRPr="00E44A68">
        <w:rPr>
          <w:lang w:val="en-GB"/>
        </w:rPr>
        <w:t>provisions)</w:t>
      </w:r>
      <w:r w:rsidR="005E3603" w:rsidRPr="00E44A68">
        <w:rPr>
          <w:lang w:val="en-GB"/>
        </w:rPr>
        <w:t xml:space="preserve"> </w:t>
      </w:r>
      <w:r w:rsidR="009B605B" w:rsidRPr="00E44A68">
        <w:rPr>
          <w:lang w:val="en-GB"/>
        </w:rPr>
        <w:t xml:space="preserve">which conformed to the </w:t>
      </w:r>
      <w:r w:rsidR="009B605B" w:rsidRPr="00E44A68">
        <w:rPr>
          <w:i/>
          <w:lang w:val="en-GB"/>
        </w:rPr>
        <w:t>ratio legis</w:t>
      </w:r>
      <w:r w:rsidR="009B605B" w:rsidRPr="00E44A68">
        <w:rPr>
          <w:lang w:val="en-GB"/>
        </w:rPr>
        <w:t xml:space="preserve"> was that of the non-cumulabi</w:t>
      </w:r>
      <w:r w:rsidR="00FF4810">
        <w:rPr>
          <w:lang w:val="en-GB"/>
        </w:rPr>
        <w:t>li</w:t>
      </w:r>
      <w:r w:rsidR="009B605B" w:rsidRPr="00E44A68">
        <w:rPr>
          <w:lang w:val="en-GB"/>
        </w:rPr>
        <w:t xml:space="preserve">ty of </w:t>
      </w:r>
      <w:r w:rsidR="00A403F9" w:rsidRPr="00E44A68">
        <w:rPr>
          <w:lang w:val="en-GB"/>
        </w:rPr>
        <w:t xml:space="preserve">the </w:t>
      </w:r>
      <w:r w:rsidR="009B605B" w:rsidRPr="00E44A68">
        <w:rPr>
          <w:lang w:val="en-GB"/>
        </w:rPr>
        <w:t>benefits</w:t>
      </w:r>
      <w:r w:rsidR="00A403F9" w:rsidRPr="00E44A68">
        <w:rPr>
          <w:lang w:val="en-GB"/>
        </w:rPr>
        <w:t xml:space="preserve"> at issue</w:t>
      </w:r>
      <w:r w:rsidR="009B605B" w:rsidRPr="00E44A68">
        <w:rPr>
          <w:lang w:val="en-GB"/>
        </w:rPr>
        <w:t xml:space="preserve">. </w:t>
      </w:r>
      <w:r w:rsidR="00A403F9" w:rsidRPr="00E44A68">
        <w:rPr>
          <w:lang w:val="en-GB"/>
        </w:rPr>
        <w:t xml:space="preserve">While it was true that the court had twice considered that benefits could be </w:t>
      </w:r>
      <w:r w:rsidRPr="00E44A68">
        <w:rPr>
          <w:lang w:val="en-GB"/>
        </w:rPr>
        <w:t>applied cumulatively</w:t>
      </w:r>
      <w:r w:rsidR="00A403F9" w:rsidRPr="00E44A68">
        <w:rPr>
          <w:lang w:val="en-GB"/>
        </w:rPr>
        <w:t xml:space="preserve"> if i) they were provided to see to different needs and ii) if the law did not expressly prohibit such accumulation, in the present case </w:t>
      </w:r>
      <w:r w:rsidR="009B605B" w:rsidRPr="00E44A68">
        <w:rPr>
          <w:lang w:val="en-GB"/>
        </w:rPr>
        <w:t xml:space="preserve">the reasons justifying the relevant reductions </w:t>
      </w:r>
      <w:r w:rsidR="00A403F9" w:rsidRPr="00E44A68">
        <w:rPr>
          <w:lang w:val="en-GB"/>
        </w:rPr>
        <w:t>overlapped in part. This was evident from the object, function and method of calculation of the benefits at issue. Thus,</w:t>
      </w:r>
      <w:r w:rsidR="009B605B" w:rsidRPr="00E44A68">
        <w:rPr>
          <w:lang w:val="en-GB"/>
        </w:rPr>
        <w:t xml:space="preserve"> had they been intended to be cumulative, it would have had to be expressly provided for in law or authorised. </w:t>
      </w:r>
      <w:r w:rsidR="00A403F9" w:rsidRPr="00E44A68">
        <w:rPr>
          <w:lang w:val="en-GB"/>
        </w:rPr>
        <w:t xml:space="preserve">The fact that the benefits at issue were not cumulable was further confirmed </w:t>
      </w:r>
      <w:r w:rsidR="00AE5CA4" w:rsidRPr="00E44A68">
        <w:rPr>
          <w:lang w:val="en-GB"/>
        </w:rPr>
        <w:t>by</w:t>
      </w:r>
      <w:r w:rsidR="00A403F9" w:rsidRPr="00E44A68">
        <w:rPr>
          <w:lang w:val="en-GB"/>
        </w:rPr>
        <w:t xml:space="preserve"> </w:t>
      </w:r>
      <w:r w:rsidR="00FF4810">
        <w:rPr>
          <w:lang w:val="en-GB"/>
        </w:rPr>
        <w:t xml:space="preserve">an </w:t>
      </w:r>
      <w:r w:rsidR="00FF4810" w:rsidRPr="00E44A68">
        <w:rPr>
          <w:lang w:val="en-GB"/>
        </w:rPr>
        <w:t>assess</w:t>
      </w:r>
      <w:r w:rsidR="00FF4810">
        <w:rPr>
          <w:lang w:val="en-GB"/>
        </w:rPr>
        <w:t>ment of</w:t>
      </w:r>
      <w:r w:rsidR="00FF4810" w:rsidRPr="00E44A68">
        <w:rPr>
          <w:lang w:val="en-GB"/>
        </w:rPr>
        <w:t xml:space="preserve"> </w:t>
      </w:r>
      <w:r w:rsidR="00A403F9" w:rsidRPr="00E44A68">
        <w:rPr>
          <w:lang w:val="en-GB"/>
        </w:rPr>
        <w:t xml:space="preserve">the entire legal </w:t>
      </w:r>
      <w:r w:rsidR="00AE5CA4" w:rsidRPr="00E44A68">
        <w:rPr>
          <w:lang w:val="en-GB"/>
        </w:rPr>
        <w:t>framework</w:t>
      </w:r>
      <w:r w:rsidR="00A403F9" w:rsidRPr="00E44A68">
        <w:rPr>
          <w:lang w:val="en-GB"/>
        </w:rPr>
        <w:t xml:space="preserve"> concerning the subject matter, </w:t>
      </w:r>
      <w:r w:rsidR="00AE5CA4" w:rsidRPr="00E44A68">
        <w:rPr>
          <w:lang w:val="en-GB"/>
        </w:rPr>
        <w:t>including</w:t>
      </w:r>
      <w:r w:rsidR="00410E88">
        <w:rPr>
          <w:lang w:val="en-GB"/>
        </w:rPr>
        <w:t>,</w:t>
      </w:r>
      <w:r w:rsidR="00A403F9" w:rsidRPr="00E44A68">
        <w:rPr>
          <w:lang w:val="en-GB"/>
        </w:rPr>
        <w:t xml:space="preserve"> for example</w:t>
      </w:r>
      <w:r w:rsidR="00410E88">
        <w:rPr>
          <w:lang w:val="en-GB"/>
        </w:rPr>
        <w:t>,</w:t>
      </w:r>
      <w:r w:rsidR="00A403F9" w:rsidRPr="00E44A68">
        <w:rPr>
          <w:lang w:val="en-GB"/>
        </w:rPr>
        <w:t xml:space="preserve"> other benefits available to the </w:t>
      </w:r>
      <w:r w:rsidR="00AE5CA4" w:rsidRPr="00E44A68">
        <w:rPr>
          <w:lang w:val="en-GB"/>
        </w:rPr>
        <w:t>agricultural</w:t>
      </w:r>
      <w:r w:rsidR="00A403F9" w:rsidRPr="00E44A68">
        <w:rPr>
          <w:lang w:val="en-GB"/>
        </w:rPr>
        <w:t xml:space="preserve"> sector in </w:t>
      </w:r>
      <w:r w:rsidR="00AE5CA4" w:rsidRPr="00E44A68">
        <w:rPr>
          <w:lang w:val="en-GB"/>
        </w:rPr>
        <w:t>general</w:t>
      </w:r>
      <w:r w:rsidR="00A403F9" w:rsidRPr="00E44A68">
        <w:rPr>
          <w:lang w:val="en-GB"/>
        </w:rPr>
        <w:t>. It followed that the enactment of Law no. 326/2003</w:t>
      </w:r>
      <w:r w:rsidR="00AE5CA4" w:rsidRPr="00E44A68">
        <w:rPr>
          <w:lang w:val="en-GB"/>
        </w:rPr>
        <w:t xml:space="preserve"> had no</w:t>
      </w:r>
      <w:r w:rsidR="00A403F9" w:rsidRPr="00E44A68">
        <w:rPr>
          <w:lang w:val="en-GB"/>
        </w:rPr>
        <w:t xml:space="preserve"> bearing on the </w:t>
      </w:r>
      <w:r w:rsidR="00AE5CA4" w:rsidRPr="00E44A68">
        <w:rPr>
          <w:lang w:val="en-GB"/>
        </w:rPr>
        <w:t xml:space="preserve">interpretation of the provisions, and thus </w:t>
      </w:r>
      <w:r w:rsidRPr="00E44A68">
        <w:rPr>
          <w:lang w:val="en-GB"/>
        </w:rPr>
        <w:t xml:space="preserve">had </w:t>
      </w:r>
      <w:r w:rsidR="00AE5CA4" w:rsidRPr="00E44A68">
        <w:rPr>
          <w:lang w:val="en-GB"/>
        </w:rPr>
        <w:t xml:space="preserve">no effects </w:t>
      </w:r>
      <w:r w:rsidR="00410E88">
        <w:rPr>
          <w:lang w:val="en-GB"/>
        </w:rPr>
        <w:t xml:space="preserve">which were </w:t>
      </w:r>
      <w:r w:rsidR="00AE5CA4" w:rsidRPr="00E44A68">
        <w:rPr>
          <w:lang w:val="en-GB"/>
        </w:rPr>
        <w:t>incompatible with Article 6 of the Convention.</w:t>
      </w:r>
    </w:p>
    <w:p w:rsidR="00BE3FCB" w:rsidRPr="00B46173" w:rsidRDefault="00BE3FCB" w:rsidP="009B0194">
      <w:pPr>
        <w:pStyle w:val="ECHRTitle1"/>
        <w:rPr>
          <w:lang w:val="en-GB"/>
        </w:rPr>
      </w:pPr>
      <w:r w:rsidRPr="00B46173">
        <w:rPr>
          <w:lang w:val="en-GB"/>
        </w:rPr>
        <w:t>THE LAW</w:t>
      </w:r>
    </w:p>
    <w:p w:rsidR="00BE3FCB" w:rsidRPr="00241896" w:rsidRDefault="00BE3FCB" w:rsidP="009B0194">
      <w:pPr>
        <w:pStyle w:val="ECHRHeading1"/>
        <w:rPr>
          <w:lang w:val="en-GB"/>
        </w:rPr>
      </w:pPr>
      <w:r w:rsidRPr="00241896">
        <w:rPr>
          <w:lang w:val="en-GB"/>
        </w:rPr>
        <w:t>I.  JOINDER OF THE APPLICATIONS</w:t>
      </w:r>
    </w:p>
    <w:p w:rsidR="00BE3FCB" w:rsidRPr="00B46173" w:rsidRDefault="00BE3FCB" w:rsidP="009B0194">
      <w:pPr>
        <w:pStyle w:val="ECHRPara"/>
        <w:rPr>
          <w:lang w:val="en-GB"/>
        </w:rPr>
      </w:pPr>
      <w:r w:rsidRPr="00241896">
        <w:rPr>
          <w:lang w:val="en-GB"/>
        </w:rPr>
        <w:fldChar w:fldCharType="begin"/>
      </w:r>
      <w:r w:rsidRPr="00241896">
        <w:rPr>
          <w:lang w:val="en-GB"/>
        </w:rPr>
        <w:instrText xml:space="preserve"> SEQ level0 \*arabic </w:instrText>
      </w:r>
      <w:r w:rsidRPr="00241896">
        <w:rPr>
          <w:lang w:val="en-GB"/>
        </w:rPr>
        <w:fldChar w:fldCharType="separate"/>
      </w:r>
      <w:r w:rsidR="00D471CA">
        <w:rPr>
          <w:noProof/>
          <w:lang w:val="en-GB"/>
        </w:rPr>
        <w:t>58</w:t>
      </w:r>
      <w:r w:rsidRPr="00241896">
        <w:rPr>
          <w:lang w:val="en-GB"/>
        </w:rPr>
        <w:fldChar w:fldCharType="end"/>
      </w:r>
      <w:r w:rsidRPr="00241896">
        <w:rPr>
          <w:lang w:val="en-GB"/>
        </w:rPr>
        <w:t>.</w:t>
      </w:r>
      <w:r w:rsidR="00553AB2">
        <w:rPr>
          <w:lang w:val="en-GB"/>
        </w:rPr>
        <w:t>  </w:t>
      </w:r>
      <w:r w:rsidRPr="00241896">
        <w:rPr>
          <w:lang w:val="en-GB"/>
        </w:rPr>
        <w:t>In accordance with Rule 42 § 1 of the Rules of Court, the Court decides to join the applications, given their similar factual and legal background.</w:t>
      </w:r>
    </w:p>
    <w:p w:rsidR="00F71A6A" w:rsidRPr="00B46173" w:rsidRDefault="00F71A6A" w:rsidP="009B0194">
      <w:pPr>
        <w:pStyle w:val="ECHRHeading1"/>
        <w:rPr>
          <w:lang w:val="en-GB"/>
        </w:rPr>
      </w:pPr>
      <w:r w:rsidRPr="00B46173">
        <w:rPr>
          <w:lang w:val="en-GB"/>
        </w:rPr>
        <w:t>I</w:t>
      </w:r>
      <w:r w:rsidR="00241896">
        <w:rPr>
          <w:lang w:val="en-GB"/>
        </w:rPr>
        <w:t>I</w:t>
      </w:r>
      <w:r w:rsidRPr="00B46173">
        <w:rPr>
          <w:lang w:val="en-GB"/>
        </w:rPr>
        <w:t xml:space="preserve">.  ALLEGED VIOLATION OF ARTICLE </w:t>
      </w:r>
      <w:r w:rsidR="00DE1463">
        <w:rPr>
          <w:lang w:val="en-GB"/>
        </w:rPr>
        <w:t xml:space="preserve">6 </w:t>
      </w:r>
      <w:r w:rsidR="00DE1463">
        <w:rPr>
          <w:rFonts w:cstheme="majorHAnsi"/>
          <w:lang w:val="en-GB"/>
        </w:rPr>
        <w:t>§</w:t>
      </w:r>
      <w:r w:rsidR="00DE1463">
        <w:rPr>
          <w:lang w:val="en-GB"/>
        </w:rPr>
        <w:t xml:space="preserve"> 1</w:t>
      </w:r>
      <w:r w:rsidRPr="00B46173">
        <w:rPr>
          <w:lang w:val="en-GB"/>
        </w:rPr>
        <w:t xml:space="preserve"> OF THE CONVENTION</w:t>
      </w:r>
    </w:p>
    <w:p w:rsidR="00F71A6A" w:rsidRPr="00B46173" w:rsidRDefault="0055733C" w:rsidP="009B0194">
      <w:pPr>
        <w:pStyle w:val="ECHRPara"/>
        <w:rPr>
          <w:lang w:val="en-GB"/>
        </w:rPr>
      </w:pPr>
      <w:r>
        <w:rPr>
          <w:lang w:val="en-GB"/>
        </w:rPr>
        <w:fldChar w:fldCharType="begin"/>
      </w:r>
      <w:r>
        <w:rPr>
          <w:lang w:val="en-GB"/>
        </w:rPr>
        <w:instrText xml:space="preserve"> SEQ level0 \*arabic </w:instrText>
      </w:r>
      <w:r>
        <w:rPr>
          <w:lang w:val="en-GB"/>
        </w:rPr>
        <w:fldChar w:fldCharType="separate"/>
      </w:r>
      <w:r w:rsidR="00D471CA">
        <w:rPr>
          <w:noProof/>
          <w:lang w:val="en-GB"/>
        </w:rPr>
        <w:t>59</w:t>
      </w:r>
      <w:r>
        <w:rPr>
          <w:lang w:val="en-GB"/>
        </w:rPr>
        <w:fldChar w:fldCharType="end"/>
      </w:r>
      <w:r>
        <w:rPr>
          <w:lang w:val="en-GB"/>
        </w:rPr>
        <w:t>.  </w:t>
      </w:r>
      <w:r w:rsidR="00F71A6A" w:rsidRPr="00B46173">
        <w:rPr>
          <w:lang w:val="en-GB"/>
        </w:rPr>
        <w:t xml:space="preserve">The </w:t>
      </w:r>
      <w:r w:rsidR="005F4753" w:rsidRPr="00B46173">
        <w:rPr>
          <w:lang w:val="en-GB"/>
        </w:rPr>
        <w:t>applicant</w:t>
      </w:r>
      <w:r w:rsidR="00064F2E">
        <w:rPr>
          <w:lang w:val="en-GB"/>
        </w:rPr>
        <w:t xml:space="preserve"> companie</w:t>
      </w:r>
      <w:r w:rsidR="00634F53" w:rsidRPr="00B46173">
        <w:rPr>
          <w:noProof/>
          <w:lang w:val="en-GB"/>
        </w:rPr>
        <w:t>s</w:t>
      </w:r>
      <w:r w:rsidR="00F71A6A" w:rsidRPr="00B46173">
        <w:rPr>
          <w:lang w:val="en-GB"/>
        </w:rPr>
        <w:t xml:space="preserve"> complained that </w:t>
      </w:r>
      <w:r w:rsidR="005C0012">
        <w:rPr>
          <w:lang w:val="en-GB"/>
        </w:rPr>
        <w:t>the enactment of Law no. 326/</w:t>
      </w:r>
      <w:r w:rsidR="00DE1463" w:rsidRPr="00DE1463">
        <w:rPr>
          <w:lang w:val="en-GB"/>
        </w:rPr>
        <w:t>03 constituted a legislative interference in pending proceedings, in breach of their right to a fair trial</w:t>
      </w:r>
      <w:r w:rsidR="00DE1463">
        <w:rPr>
          <w:lang w:val="en-GB"/>
        </w:rPr>
        <w:t xml:space="preserve"> as provided for by Article 6 </w:t>
      </w:r>
      <w:r w:rsidR="00DE1463">
        <w:rPr>
          <w:rFonts w:cstheme="majorHAnsi"/>
          <w:lang w:val="en-GB"/>
        </w:rPr>
        <w:t>§</w:t>
      </w:r>
      <w:r w:rsidR="00DE1463">
        <w:rPr>
          <w:lang w:val="en-GB"/>
        </w:rPr>
        <w:t xml:space="preserve"> 1</w:t>
      </w:r>
      <w:r w:rsidR="00F71A6A" w:rsidRPr="00B46173">
        <w:rPr>
          <w:lang w:val="en-GB"/>
        </w:rPr>
        <w:t xml:space="preserve"> of the Convention, which reads as follows:</w:t>
      </w:r>
    </w:p>
    <w:p w:rsidR="005B16A8" w:rsidRPr="002B4C89" w:rsidRDefault="002B4C89" w:rsidP="009B0194">
      <w:pPr>
        <w:pStyle w:val="ECHRParaQuote"/>
        <w:rPr>
          <w:lang w:val="en-GB"/>
        </w:rPr>
      </w:pPr>
      <w:r w:rsidRPr="002B4C89">
        <w:rPr>
          <w:lang w:val="en-GB"/>
        </w:rPr>
        <w:t>“In the determination of his civil rights and obligations ... everyone is entitled to a fair ... hearing ... by [a] ... tribunal ...”</w:t>
      </w:r>
    </w:p>
    <w:p w:rsidR="00F71A6A" w:rsidRPr="00B46173" w:rsidRDefault="00634F53" w:rsidP="009B0194">
      <w:pPr>
        <w:pStyle w:val="ECHRPara"/>
        <w:rPr>
          <w:lang w:val="en-GB"/>
        </w:rPr>
      </w:pPr>
      <w:r>
        <w:rPr>
          <w:lang w:val="en-GB"/>
        </w:rPr>
        <w:fldChar w:fldCharType="begin"/>
      </w:r>
      <w:r>
        <w:rPr>
          <w:lang w:val="en-GB"/>
        </w:rPr>
        <w:instrText xml:space="preserve"> SEQ level0 \*arabic </w:instrText>
      </w:r>
      <w:r>
        <w:rPr>
          <w:lang w:val="en-GB"/>
        </w:rPr>
        <w:fldChar w:fldCharType="separate"/>
      </w:r>
      <w:r w:rsidR="00D471CA">
        <w:rPr>
          <w:noProof/>
          <w:lang w:val="en-GB"/>
        </w:rPr>
        <w:t>60</w:t>
      </w:r>
      <w:r>
        <w:rPr>
          <w:lang w:val="en-GB"/>
        </w:rPr>
        <w:fldChar w:fldCharType="end"/>
      </w:r>
      <w:r w:rsidR="00F71A6A" w:rsidRPr="00B46173">
        <w:rPr>
          <w:lang w:val="en-GB"/>
        </w:rPr>
        <w:t>.  The Government contested that argument.</w:t>
      </w:r>
    </w:p>
    <w:p w:rsidR="00F71A6A" w:rsidRPr="00864D90" w:rsidRDefault="00F71A6A" w:rsidP="00553AB2">
      <w:pPr>
        <w:pStyle w:val="ECHRHeading2"/>
        <w:rPr>
          <w:lang w:val="en-US"/>
        </w:rPr>
      </w:pPr>
      <w:r w:rsidRPr="00864D90">
        <w:rPr>
          <w:lang w:val="en-US"/>
        </w:rPr>
        <w:t>A.  Admissibility</w:t>
      </w:r>
    </w:p>
    <w:p w:rsidR="00F71A6A" w:rsidRPr="00B46173" w:rsidRDefault="00634F53" w:rsidP="009B0194">
      <w:pPr>
        <w:pStyle w:val="ECHRPara"/>
        <w:rPr>
          <w:lang w:val="en-GB"/>
        </w:rPr>
      </w:pPr>
      <w:r>
        <w:rPr>
          <w:lang w:val="en-GB"/>
        </w:rPr>
        <w:fldChar w:fldCharType="begin"/>
      </w:r>
      <w:r>
        <w:rPr>
          <w:lang w:val="en-GB"/>
        </w:rPr>
        <w:instrText xml:space="preserve"> SEQ level0 \*arabic </w:instrText>
      </w:r>
      <w:r>
        <w:rPr>
          <w:lang w:val="en-GB"/>
        </w:rPr>
        <w:fldChar w:fldCharType="separate"/>
      </w:r>
      <w:r w:rsidR="00D471CA">
        <w:rPr>
          <w:noProof/>
          <w:lang w:val="en-GB"/>
        </w:rPr>
        <w:t>61</w:t>
      </w:r>
      <w:r>
        <w:rPr>
          <w:lang w:val="en-GB"/>
        </w:rPr>
        <w:fldChar w:fldCharType="end"/>
      </w:r>
      <w:r w:rsidR="00F71A6A" w:rsidRPr="00B46173">
        <w:rPr>
          <w:lang w:val="en-GB"/>
        </w:rPr>
        <w:t xml:space="preserve">.  The Court notes that </w:t>
      </w:r>
      <w:r w:rsidR="00D44EA3" w:rsidRPr="00B46173">
        <w:rPr>
          <w:lang w:val="en-GB"/>
        </w:rPr>
        <w:t xml:space="preserve">this complaint </w:t>
      </w:r>
      <w:r w:rsidR="002B4C89">
        <w:rPr>
          <w:noProof/>
          <w:lang w:val="en-GB"/>
        </w:rPr>
        <w:t>is</w:t>
      </w:r>
      <w:r w:rsidR="00F71A6A" w:rsidRPr="00B46173">
        <w:rPr>
          <w:lang w:val="en-GB"/>
        </w:rPr>
        <w:t xml:space="preserve"> not manifestly ill-founded within the meaning of Article </w:t>
      </w:r>
      <w:r w:rsidR="00C63E30" w:rsidRPr="00B46173">
        <w:rPr>
          <w:lang w:val="en-GB"/>
        </w:rPr>
        <w:t>35 § 3 (a)</w:t>
      </w:r>
      <w:r w:rsidR="00F71A6A" w:rsidRPr="00B46173">
        <w:rPr>
          <w:lang w:val="en-GB"/>
        </w:rPr>
        <w:t xml:space="preserve"> of the Convention. It further notes that it is not inadmissible on any other grounds. It must therefore be declared admissible.</w:t>
      </w:r>
    </w:p>
    <w:p w:rsidR="00F71A6A" w:rsidRPr="00864D90" w:rsidRDefault="00F71A6A" w:rsidP="00553AB2">
      <w:pPr>
        <w:pStyle w:val="ECHRHeading2"/>
        <w:rPr>
          <w:lang w:val="en-US"/>
        </w:rPr>
      </w:pPr>
      <w:r w:rsidRPr="00864D90">
        <w:rPr>
          <w:lang w:val="en-US"/>
        </w:rPr>
        <w:t>B.  Merits</w:t>
      </w:r>
    </w:p>
    <w:p w:rsidR="00DB583D" w:rsidRPr="00DB583D" w:rsidRDefault="00553AB2" w:rsidP="009B0194">
      <w:pPr>
        <w:pStyle w:val="ECHRHeading3"/>
        <w:rPr>
          <w:lang w:val="en-GB"/>
        </w:rPr>
      </w:pPr>
      <w:r>
        <w:rPr>
          <w:lang w:val="en-GB"/>
        </w:rPr>
        <w:t>1.  </w:t>
      </w:r>
      <w:r w:rsidR="00DB583D" w:rsidRPr="00DB583D">
        <w:rPr>
          <w:lang w:val="en-GB"/>
        </w:rPr>
        <w:t>The parties</w:t>
      </w:r>
      <w:r w:rsidR="00864D90">
        <w:rPr>
          <w:lang w:val="en-GB"/>
        </w:rPr>
        <w:t>’</w:t>
      </w:r>
      <w:r w:rsidR="00DB583D" w:rsidRPr="00DB583D">
        <w:rPr>
          <w:lang w:val="en-GB"/>
        </w:rPr>
        <w:t xml:space="preserve"> submissions</w:t>
      </w:r>
    </w:p>
    <w:p w:rsidR="00DB583D" w:rsidRPr="00DB583D" w:rsidRDefault="00553AB2" w:rsidP="009B0194">
      <w:pPr>
        <w:pStyle w:val="ECHRHeading4"/>
        <w:rPr>
          <w:lang w:val="en-GB"/>
        </w:rPr>
      </w:pPr>
      <w:r>
        <w:rPr>
          <w:lang w:val="en-GB"/>
        </w:rPr>
        <w:t>(a)  </w:t>
      </w:r>
      <w:r w:rsidR="00DB583D" w:rsidRPr="00DB583D">
        <w:rPr>
          <w:lang w:val="en-GB"/>
        </w:rPr>
        <w:t>The applicant companies</w:t>
      </w:r>
      <w:r w:rsidR="00864D90">
        <w:rPr>
          <w:lang w:val="en-GB"/>
        </w:rPr>
        <w:t>’</w:t>
      </w:r>
      <w:r w:rsidR="00DB583D" w:rsidRPr="00DB583D">
        <w:rPr>
          <w:lang w:val="en-GB"/>
        </w:rPr>
        <w:t xml:space="preserve"> submissions</w:t>
      </w:r>
    </w:p>
    <w:p w:rsidR="00632A2E" w:rsidRDefault="00634F53" w:rsidP="009B0194">
      <w:pPr>
        <w:pStyle w:val="ECHRPara"/>
        <w:rPr>
          <w:szCs w:val="24"/>
          <w:lang w:val="en-GB"/>
        </w:rPr>
      </w:pPr>
      <w:r>
        <w:rPr>
          <w:lang w:val="en-GB"/>
        </w:rPr>
        <w:fldChar w:fldCharType="begin"/>
      </w:r>
      <w:r>
        <w:rPr>
          <w:lang w:val="en-GB"/>
        </w:rPr>
        <w:instrText xml:space="preserve"> SEQ level0 \*arabic </w:instrText>
      </w:r>
      <w:r>
        <w:rPr>
          <w:lang w:val="en-GB"/>
        </w:rPr>
        <w:fldChar w:fldCharType="separate"/>
      </w:r>
      <w:r w:rsidR="00D471CA">
        <w:rPr>
          <w:noProof/>
          <w:lang w:val="en-GB"/>
        </w:rPr>
        <w:t>62</w:t>
      </w:r>
      <w:r>
        <w:rPr>
          <w:lang w:val="en-GB"/>
        </w:rPr>
        <w:fldChar w:fldCharType="end"/>
      </w:r>
      <w:r w:rsidR="00F71A6A" w:rsidRPr="00B46173">
        <w:rPr>
          <w:lang w:val="en-GB"/>
        </w:rPr>
        <w:t xml:space="preserve">.  The </w:t>
      </w:r>
      <w:r w:rsidR="005F4753" w:rsidRPr="00B46173">
        <w:rPr>
          <w:lang w:val="en-GB"/>
        </w:rPr>
        <w:t>applicant</w:t>
      </w:r>
      <w:r w:rsidR="00BC15BD">
        <w:rPr>
          <w:lang w:val="en-GB"/>
        </w:rPr>
        <w:t xml:space="preserve"> companie</w:t>
      </w:r>
      <w:r w:rsidRPr="00B46173">
        <w:rPr>
          <w:noProof/>
          <w:lang w:val="en-GB"/>
        </w:rPr>
        <w:t>s</w:t>
      </w:r>
      <w:r w:rsidR="00F71A6A" w:rsidRPr="00B46173">
        <w:rPr>
          <w:lang w:val="en-GB"/>
        </w:rPr>
        <w:t xml:space="preserve"> </w:t>
      </w:r>
      <w:r w:rsidR="00BC15BD">
        <w:rPr>
          <w:lang w:val="en-GB"/>
        </w:rPr>
        <w:t>relied on the Court</w:t>
      </w:r>
      <w:r w:rsidR="00864D90">
        <w:rPr>
          <w:lang w:val="en-GB"/>
        </w:rPr>
        <w:t>’</w:t>
      </w:r>
      <w:r w:rsidR="00BC15BD">
        <w:rPr>
          <w:lang w:val="en-GB"/>
        </w:rPr>
        <w:t>s principles regarding access to court and legislative intervention under Article 6 of the Convention, and referred in particular to the Court</w:t>
      </w:r>
      <w:r w:rsidR="00864D90">
        <w:rPr>
          <w:lang w:val="en-GB"/>
        </w:rPr>
        <w:t>’</w:t>
      </w:r>
      <w:r w:rsidR="00BC15BD">
        <w:rPr>
          <w:lang w:val="en-GB"/>
        </w:rPr>
        <w:t xml:space="preserve">s judgment in </w:t>
      </w:r>
      <w:r w:rsidR="00BC15BD" w:rsidRPr="00BC15BD">
        <w:rPr>
          <w:i/>
          <w:szCs w:val="24"/>
          <w:lang w:val="en-GB"/>
        </w:rPr>
        <w:t xml:space="preserve">Scordino v. </w:t>
      </w:r>
      <w:r w:rsidR="00BC15BD" w:rsidRPr="00BC15BD">
        <w:rPr>
          <w:i/>
          <w:iCs/>
          <w:lang w:val="en-GB"/>
        </w:rPr>
        <w:t xml:space="preserve">Italy (no. 1) </w:t>
      </w:r>
      <w:r w:rsidR="00BC15BD" w:rsidRPr="00BC15BD">
        <w:rPr>
          <w:iCs/>
          <w:lang w:val="en-GB"/>
        </w:rPr>
        <w:t>(</w:t>
      </w:r>
      <w:r w:rsidR="00BC15BD" w:rsidRPr="00BC15BD">
        <w:rPr>
          <w:szCs w:val="24"/>
          <w:lang w:val="en-GB"/>
        </w:rPr>
        <w:t>[GC], no. 36813/97, ECHR 2006</w:t>
      </w:r>
      <w:r w:rsidR="00BC15BD" w:rsidRPr="00BC15BD">
        <w:rPr>
          <w:szCs w:val="24"/>
          <w:lang w:val="en-GB"/>
        </w:rPr>
        <w:noBreakHyphen/>
        <w:t>V</w:t>
      </w:r>
      <w:r w:rsidR="00BC15BD">
        <w:rPr>
          <w:szCs w:val="24"/>
          <w:lang w:val="en-GB"/>
        </w:rPr>
        <w:t>). They considered that there exi</w:t>
      </w:r>
      <w:r w:rsidR="002B4C89">
        <w:rPr>
          <w:szCs w:val="24"/>
          <w:lang w:val="en-GB"/>
        </w:rPr>
        <w:t>s</w:t>
      </w:r>
      <w:r w:rsidR="00BC15BD">
        <w:rPr>
          <w:szCs w:val="24"/>
          <w:lang w:val="en-GB"/>
        </w:rPr>
        <w:t>ted no legitimate reasons or compelling general</w:t>
      </w:r>
      <w:r w:rsidR="00C414A0">
        <w:rPr>
          <w:szCs w:val="24"/>
          <w:lang w:val="en-GB"/>
        </w:rPr>
        <w:t xml:space="preserve"> </w:t>
      </w:r>
      <w:r w:rsidR="00BC15BD">
        <w:rPr>
          <w:szCs w:val="24"/>
          <w:lang w:val="en-GB"/>
        </w:rPr>
        <w:t>interest reasons which could allow the Italian legislator to legitimately intervene in pending proceedings by enacting a law with retroactive effect concerning facts which had already come to be and proceedings which had already been initiated</w:t>
      </w:r>
      <w:r w:rsidR="00B11015">
        <w:rPr>
          <w:szCs w:val="24"/>
          <w:lang w:val="en-GB"/>
        </w:rPr>
        <w:t>, t</w:t>
      </w:r>
      <w:r w:rsidR="00BC15BD">
        <w:rPr>
          <w:szCs w:val="24"/>
          <w:lang w:val="en-GB"/>
        </w:rPr>
        <w:t>hus usurping the function of the judiciary and violating the applicants</w:t>
      </w:r>
      <w:r w:rsidR="00864D90">
        <w:rPr>
          <w:szCs w:val="24"/>
          <w:lang w:val="en-GB"/>
        </w:rPr>
        <w:t>’</w:t>
      </w:r>
      <w:r w:rsidR="00BC15BD">
        <w:rPr>
          <w:szCs w:val="24"/>
          <w:lang w:val="en-GB"/>
        </w:rPr>
        <w:t xml:space="preserve"> right to a fair trial as well as impairing the very essence of the </w:t>
      </w:r>
      <w:r w:rsidR="00B11015">
        <w:rPr>
          <w:szCs w:val="24"/>
          <w:lang w:val="en-GB"/>
        </w:rPr>
        <w:t xml:space="preserve">their </w:t>
      </w:r>
      <w:r w:rsidR="00BC15BD">
        <w:rPr>
          <w:szCs w:val="24"/>
          <w:lang w:val="en-GB"/>
        </w:rPr>
        <w:t>right to a court. Indeed</w:t>
      </w:r>
      <w:r w:rsidR="00B11015">
        <w:rPr>
          <w:szCs w:val="24"/>
          <w:lang w:val="en-GB"/>
        </w:rPr>
        <w:t>,</w:t>
      </w:r>
      <w:r w:rsidR="00BC15BD">
        <w:rPr>
          <w:szCs w:val="24"/>
          <w:lang w:val="en-GB"/>
        </w:rPr>
        <w:t xml:space="preserve"> the only reason behind </w:t>
      </w:r>
      <w:r w:rsidR="00B11015">
        <w:rPr>
          <w:szCs w:val="24"/>
          <w:lang w:val="en-GB"/>
        </w:rPr>
        <w:t>the</w:t>
      </w:r>
      <w:r w:rsidR="00BC15BD">
        <w:rPr>
          <w:szCs w:val="24"/>
          <w:lang w:val="en-GB"/>
        </w:rPr>
        <w:t xml:space="preserve"> intervention had been financial, namely to avoid payments in a number</w:t>
      </w:r>
      <w:r w:rsidR="00F0182B">
        <w:rPr>
          <w:szCs w:val="24"/>
          <w:lang w:val="en-GB"/>
        </w:rPr>
        <w:t xml:space="preserve"> of judgments</w:t>
      </w:r>
      <w:r w:rsidR="00920231">
        <w:rPr>
          <w:szCs w:val="24"/>
          <w:lang w:val="en-GB"/>
        </w:rPr>
        <w:t>,</w:t>
      </w:r>
      <w:r w:rsidR="00F0182B">
        <w:rPr>
          <w:szCs w:val="24"/>
          <w:lang w:val="en-GB"/>
        </w:rPr>
        <w:t xml:space="preserve"> at </w:t>
      </w:r>
      <w:r w:rsidR="00553AB2">
        <w:rPr>
          <w:szCs w:val="24"/>
          <w:lang w:val="en-GB"/>
        </w:rPr>
        <w:t>first</w:t>
      </w:r>
      <w:r w:rsidR="00553AB2">
        <w:rPr>
          <w:szCs w:val="24"/>
          <w:lang w:val="en-GB"/>
        </w:rPr>
        <w:noBreakHyphen/>
      </w:r>
      <w:r w:rsidR="00BC15BD">
        <w:rPr>
          <w:szCs w:val="24"/>
          <w:lang w:val="en-GB"/>
        </w:rPr>
        <w:t>instance and on appeal</w:t>
      </w:r>
      <w:r w:rsidR="00920231">
        <w:rPr>
          <w:szCs w:val="24"/>
          <w:lang w:val="en-GB"/>
        </w:rPr>
        <w:t>,</w:t>
      </w:r>
      <w:r w:rsidR="00BC15BD">
        <w:rPr>
          <w:szCs w:val="24"/>
          <w:lang w:val="en-GB"/>
        </w:rPr>
        <w:t xml:space="preserve"> which had found in favour of the applicant companies and other companies in the same position. </w:t>
      </w:r>
      <w:r w:rsidR="002A7E99" w:rsidRPr="0055733C">
        <w:rPr>
          <w:szCs w:val="24"/>
          <w:lang w:val="en-GB"/>
        </w:rPr>
        <w:t>This was clear even from the name of the law</w:t>
      </w:r>
      <w:r w:rsidR="0055733C">
        <w:rPr>
          <w:szCs w:val="24"/>
          <w:lang w:val="en-GB"/>
        </w:rPr>
        <w:t xml:space="preserve"> </w:t>
      </w:r>
      <w:r w:rsidR="00B11015">
        <w:rPr>
          <w:szCs w:val="24"/>
          <w:lang w:val="en-GB"/>
        </w:rPr>
        <w:t>–</w:t>
      </w:r>
      <w:r w:rsidR="002A7E99" w:rsidRPr="0055733C">
        <w:rPr>
          <w:szCs w:val="24"/>
          <w:lang w:val="en-GB"/>
        </w:rPr>
        <w:t xml:space="preserve"> </w:t>
      </w:r>
      <w:r w:rsidR="0055733C" w:rsidRPr="00DE1463">
        <w:rPr>
          <w:lang w:val="en-GB"/>
        </w:rPr>
        <w:t xml:space="preserve">Urgent </w:t>
      </w:r>
      <w:r w:rsidR="00B11015">
        <w:rPr>
          <w:lang w:val="en-GB"/>
        </w:rPr>
        <w:t>d</w:t>
      </w:r>
      <w:r w:rsidR="00B11015" w:rsidRPr="00DE1463">
        <w:rPr>
          <w:lang w:val="en-GB"/>
        </w:rPr>
        <w:t xml:space="preserve">ispositions </w:t>
      </w:r>
      <w:r w:rsidR="0055733C" w:rsidRPr="00DE1463">
        <w:rPr>
          <w:lang w:val="en-GB"/>
        </w:rPr>
        <w:t xml:space="preserve">to </w:t>
      </w:r>
      <w:r w:rsidR="00B11015">
        <w:rPr>
          <w:lang w:val="en-GB"/>
        </w:rPr>
        <w:t>f</w:t>
      </w:r>
      <w:r w:rsidR="00B11015" w:rsidRPr="00DE1463">
        <w:rPr>
          <w:lang w:val="en-GB"/>
        </w:rPr>
        <w:t xml:space="preserve">avour </w:t>
      </w:r>
      <w:r w:rsidR="00B11015">
        <w:rPr>
          <w:lang w:val="en-GB"/>
        </w:rPr>
        <w:t>d</w:t>
      </w:r>
      <w:r w:rsidR="00B11015" w:rsidRPr="00DE1463">
        <w:rPr>
          <w:lang w:val="en-GB"/>
        </w:rPr>
        <w:t xml:space="preserve">evelopment </w:t>
      </w:r>
      <w:r w:rsidR="0055733C" w:rsidRPr="00DE1463">
        <w:rPr>
          <w:lang w:val="en-GB"/>
        </w:rPr>
        <w:t xml:space="preserve">and to adjust the </w:t>
      </w:r>
      <w:r w:rsidR="00B11015">
        <w:rPr>
          <w:lang w:val="en-GB"/>
        </w:rPr>
        <w:t>t</w:t>
      </w:r>
      <w:r w:rsidR="00B11015" w:rsidRPr="00DE1463">
        <w:rPr>
          <w:lang w:val="en-GB"/>
        </w:rPr>
        <w:t xml:space="preserve">rend </w:t>
      </w:r>
      <w:r w:rsidR="0055733C" w:rsidRPr="00DE1463">
        <w:rPr>
          <w:lang w:val="en-GB"/>
        </w:rPr>
        <w:t xml:space="preserve">in </w:t>
      </w:r>
      <w:r w:rsidR="00B11015">
        <w:rPr>
          <w:lang w:val="en-GB"/>
        </w:rPr>
        <w:t>p</w:t>
      </w:r>
      <w:r w:rsidR="00B11015" w:rsidRPr="00DE1463">
        <w:rPr>
          <w:lang w:val="en-GB"/>
        </w:rPr>
        <w:t xml:space="preserve">ublic </w:t>
      </w:r>
      <w:r w:rsidR="00B11015">
        <w:rPr>
          <w:lang w:val="en-GB"/>
        </w:rPr>
        <w:t>f</w:t>
      </w:r>
      <w:r w:rsidR="00B11015" w:rsidRPr="00DE1463">
        <w:rPr>
          <w:lang w:val="en-GB"/>
        </w:rPr>
        <w:t>inances</w:t>
      </w:r>
      <w:r w:rsidR="0055733C">
        <w:rPr>
          <w:szCs w:val="24"/>
          <w:lang w:val="en-GB"/>
        </w:rPr>
        <w:t xml:space="preserve"> (</w:t>
      </w:r>
      <w:r w:rsidR="002A7E99" w:rsidRPr="0055733C">
        <w:rPr>
          <w:i/>
          <w:szCs w:val="24"/>
          <w:lang w:val="en-GB"/>
        </w:rPr>
        <w:t>Disposizioni urgenti per</w:t>
      </w:r>
      <w:r w:rsidR="00B11015">
        <w:rPr>
          <w:i/>
          <w:szCs w:val="24"/>
          <w:lang w:val="en-GB"/>
        </w:rPr>
        <w:t xml:space="preserve"> </w:t>
      </w:r>
      <w:r w:rsidR="002A7E99" w:rsidRPr="0055733C">
        <w:rPr>
          <w:i/>
          <w:szCs w:val="24"/>
          <w:lang w:val="en-GB"/>
        </w:rPr>
        <w:t>favorire lo sviluppo e la correzione dell</w:t>
      </w:r>
      <w:r w:rsidR="00864D90">
        <w:rPr>
          <w:i/>
          <w:szCs w:val="24"/>
          <w:lang w:val="en-GB"/>
        </w:rPr>
        <w:t>’</w:t>
      </w:r>
      <w:r w:rsidR="002A7E99" w:rsidRPr="0055733C">
        <w:rPr>
          <w:i/>
          <w:szCs w:val="24"/>
          <w:lang w:val="en-GB"/>
        </w:rPr>
        <w:t>andamaneto dei conti pubblici</w:t>
      </w:r>
      <w:r w:rsidR="0055733C">
        <w:rPr>
          <w:szCs w:val="24"/>
          <w:lang w:val="en-GB"/>
        </w:rPr>
        <w:t xml:space="preserve">). </w:t>
      </w:r>
      <w:r w:rsidR="00BC15BD">
        <w:rPr>
          <w:szCs w:val="24"/>
          <w:lang w:val="en-GB"/>
        </w:rPr>
        <w:t xml:space="preserve">Without </w:t>
      </w:r>
      <w:r w:rsidR="00B11015">
        <w:rPr>
          <w:szCs w:val="24"/>
          <w:lang w:val="en-GB"/>
        </w:rPr>
        <w:t xml:space="preserve">the </w:t>
      </w:r>
      <w:r w:rsidR="00BC15BD">
        <w:rPr>
          <w:szCs w:val="24"/>
          <w:lang w:val="en-GB"/>
        </w:rPr>
        <w:t xml:space="preserve">intervention, </w:t>
      </w:r>
      <w:r w:rsidR="00B11015">
        <w:rPr>
          <w:szCs w:val="24"/>
          <w:lang w:val="en-GB"/>
        </w:rPr>
        <w:t>and in accordance with</w:t>
      </w:r>
      <w:r w:rsidR="00BC15BD">
        <w:rPr>
          <w:szCs w:val="24"/>
          <w:lang w:val="en-GB"/>
        </w:rPr>
        <w:t xml:space="preserve"> </w:t>
      </w:r>
      <w:r w:rsidR="00B11015">
        <w:rPr>
          <w:szCs w:val="24"/>
          <w:lang w:val="en-GB"/>
        </w:rPr>
        <w:t xml:space="preserve">the </w:t>
      </w:r>
      <w:r w:rsidR="00BC15BD">
        <w:rPr>
          <w:szCs w:val="24"/>
          <w:lang w:val="en-GB"/>
        </w:rPr>
        <w:t xml:space="preserve">established </w:t>
      </w:r>
      <w:r w:rsidR="00B11015">
        <w:rPr>
          <w:szCs w:val="24"/>
          <w:lang w:val="en-GB"/>
        </w:rPr>
        <w:t xml:space="preserve">case-law </w:t>
      </w:r>
      <w:r w:rsidR="00FD6642">
        <w:rPr>
          <w:szCs w:val="24"/>
          <w:lang w:val="en-GB"/>
        </w:rPr>
        <w:t>arising from a multitude of cases including judgments of the Court of Cassation</w:t>
      </w:r>
      <w:r w:rsidR="009B053D">
        <w:rPr>
          <w:szCs w:val="24"/>
          <w:lang w:val="en-GB"/>
        </w:rPr>
        <w:t xml:space="preserve">, </w:t>
      </w:r>
      <w:r w:rsidR="00BC15BD">
        <w:rPr>
          <w:szCs w:val="24"/>
          <w:lang w:val="en-GB"/>
        </w:rPr>
        <w:t>the applicant companies</w:t>
      </w:r>
      <w:r w:rsidR="00864D90">
        <w:rPr>
          <w:szCs w:val="24"/>
          <w:lang w:val="en-GB"/>
        </w:rPr>
        <w:t>’</w:t>
      </w:r>
      <w:r w:rsidR="00BC15BD">
        <w:rPr>
          <w:szCs w:val="24"/>
          <w:lang w:val="en-GB"/>
        </w:rPr>
        <w:t xml:space="preserve"> claims would have succeeded. However, the intervention ensured that</w:t>
      </w:r>
      <w:r w:rsidR="009B053D">
        <w:rPr>
          <w:szCs w:val="24"/>
          <w:lang w:val="en-GB"/>
        </w:rPr>
        <w:t xml:space="preserve">, contrary to </w:t>
      </w:r>
      <w:r w:rsidR="00B11015">
        <w:rPr>
          <w:szCs w:val="24"/>
          <w:lang w:val="en-GB"/>
        </w:rPr>
        <w:t xml:space="preserve">what had </w:t>
      </w:r>
      <w:r w:rsidR="00920231">
        <w:rPr>
          <w:szCs w:val="24"/>
          <w:lang w:val="en-GB"/>
        </w:rPr>
        <w:t xml:space="preserve">already </w:t>
      </w:r>
      <w:r w:rsidR="00B11015">
        <w:rPr>
          <w:szCs w:val="24"/>
          <w:lang w:val="en-GB"/>
        </w:rPr>
        <w:t xml:space="preserve">been </w:t>
      </w:r>
      <w:r w:rsidR="009B053D">
        <w:rPr>
          <w:szCs w:val="24"/>
          <w:lang w:val="en-GB"/>
        </w:rPr>
        <w:t>established,</w:t>
      </w:r>
      <w:r w:rsidR="00BC15BD">
        <w:rPr>
          <w:szCs w:val="24"/>
          <w:lang w:val="en-GB"/>
        </w:rPr>
        <w:t xml:space="preserve"> the INPS would be successful</w:t>
      </w:r>
      <w:r w:rsidR="009B053D">
        <w:rPr>
          <w:szCs w:val="24"/>
          <w:lang w:val="en-GB"/>
        </w:rPr>
        <w:t>.</w:t>
      </w:r>
    </w:p>
    <w:p w:rsidR="00632A2E" w:rsidRDefault="00F0182B" w:rsidP="009B0194">
      <w:pPr>
        <w:pStyle w:val="ECHRPara"/>
        <w:rPr>
          <w:szCs w:val="24"/>
          <w:lang w:val="en-GB"/>
        </w:rPr>
      </w:pPr>
      <w:r>
        <w:rPr>
          <w:szCs w:val="24"/>
          <w:lang w:val="en-GB"/>
        </w:rPr>
        <w:fldChar w:fldCharType="begin"/>
      </w:r>
      <w:r>
        <w:rPr>
          <w:szCs w:val="24"/>
          <w:lang w:val="en-GB"/>
        </w:rPr>
        <w:instrText xml:space="preserve"> SEQ level0 \*arabic </w:instrText>
      </w:r>
      <w:r>
        <w:rPr>
          <w:szCs w:val="24"/>
          <w:lang w:val="en-GB"/>
        </w:rPr>
        <w:fldChar w:fldCharType="separate"/>
      </w:r>
      <w:r w:rsidR="00D471CA">
        <w:rPr>
          <w:noProof/>
          <w:szCs w:val="24"/>
          <w:lang w:val="en-GB"/>
        </w:rPr>
        <w:t>63</w:t>
      </w:r>
      <w:r>
        <w:rPr>
          <w:szCs w:val="24"/>
          <w:lang w:val="en-GB"/>
        </w:rPr>
        <w:fldChar w:fldCharType="end"/>
      </w:r>
      <w:r>
        <w:rPr>
          <w:szCs w:val="24"/>
          <w:lang w:val="en-GB"/>
        </w:rPr>
        <w:t>.  </w:t>
      </w:r>
      <w:r w:rsidR="00FE32F0">
        <w:rPr>
          <w:szCs w:val="24"/>
          <w:lang w:val="en-GB"/>
        </w:rPr>
        <w:t xml:space="preserve">The </w:t>
      </w:r>
      <w:r w:rsidR="006E7307">
        <w:rPr>
          <w:szCs w:val="24"/>
          <w:lang w:val="en-GB"/>
        </w:rPr>
        <w:t>applicant companies</w:t>
      </w:r>
      <w:r w:rsidR="00FE32F0">
        <w:rPr>
          <w:szCs w:val="24"/>
          <w:lang w:val="en-GB"/>
        </w:rPr>
        <w:t xml:space="preserve"> noted that the “interpretative” law was enacted fifteen years after the original law and </w:t>
      </w:r>
      <w:r w:rsidR="006E7307">
        <w:rPr>
          <w:szCs w:val="24"/>
          <w:lang w:val="en-GB"/>
        </w:rPr>
        <w:t>in the absence of any diverg</w:t>
      </w:r>
      <w:r w:rsidR="00C414A0">
        <w:rPr>
          <w:szCs w:val="24"/>
          <w:lang w:val="en-GB"/>
        </w:rPr>
        <w:t>ent</w:t>
      </w:r>
      <w:r w:rsidR="006E7307">
        <w:rPr>
          <w:szCs w:val="24"/>
          <w:lang w:val="en-GB"/>
        </w:rPr>
        <w:t xml:space="preserve"> case-law.</w:t>
      </w:r>
      <w:r w:rsidR="0001799D">
        <w:rPr>
          <w:szCs w:val="24"/>
          <w:lang w:val="en-GB"/>
        </w:rPr>
        <w:t xml:space="preserve"> </w:t>
      </w:r>
      <w:r w:rsidR="0001799D" w:rsidRPr="007D35B4">
        <w:rPr>
          <w:szCs w:val="24"/>
          <w:lang w:val="en-GB"/>
        </w:rPr>
        <w:t>In fact</w:t>
      </w:r>
      <w:r w:rsidR="00A42130" w:rsidRPr="007D35B4">
        <w:rPr>
          <w:szCs w:val="24"/>
          <w:lang w:val="en-GB"/>
        </w:rPr>
        <w:t>,</w:t>
      </w:r>
      <w:r w:rsidR="0001799D" w:rsidRPr="007D35B4">
        <w:rPr>
          <w:szCs w:val="24"/>
          <w:lang w:val="en-GB"/>
        </w:rPr>
        <w:t xml:space="preserve"> as from the year </w:t>
      </w:r>
      <w:r w:rsidR="00A42130" w:rsidRPr="007D35B4">
        <w:rPr>
          <w:szCs w:val="24"/>
          <w:lang w:val="en-GB"/>
        </w:rPr>
        <w:t xml:space="preserve">1996 </w:t>
      </w:r>
      <w:r w:rsidR="00346704">
        <w:rPr>
          <w:szCs w:val="24"/>
          <w:lang w:val="en-GB"/>
        </w:rPr>
        <w:t>–</w:t>
      </w:r>
      <w:r w:rsidR="00A42130" w:rsidRPr="007D35B4">
        <w:rPr>
          <w:szCs w:val="24"/>
          <w:lang w:val="en-GB"/>
        </w:rPr>
        <w:t xml:space="preserve"> with the first</w:t>
      </w:r>
      <w:r w:rsidR="005A022A">
        <w:rPr>
          <w:szCs w:val="24"/>
          <w:lang w:val="en-GB"/>
        </w:rPr>
        <w:t>-</w:t>
      </w:r>
      <w:r w:rsidR="00A42130" w:rsidRPr="007D35B4">
        <w:rPr>
          <w:szCs w:val="24"/>
          <w:lang w:val="en-GB"/>
        </w:rPr>
        <w:t xml:space="preserve">instance judgment </w:t>
      </w:r>
      <w:r w:rsidR="004F44C3" w:rsidRPr="007D35B4">
        <w:rPr>
          <w:szCs w:val="24"/>
          <w:lang w:val="en-GB"/>
        </w:rPr>
        <w:t xml:space="preserve">in the case of </w:t>
      </w:r>
      <w:r w:rsidR="004F44C3" w:rsidRPr="007D35B4">
        <w:rPr>
          <w:lang w:val="en-GB"/>
        </w:rPr>
        <w:t>Floramiata Spa</w:t>
      </w:r>
      <w:r w:rsidR="00A42130" w:rsidRPr="007D35B4">
        <w:rPr>
          <w:szCs w:val="24"/>
          <w:lang w:val="en-GB"/>
        </w:rPr>
        <w:t xml:space="preserve"> </w:t>
      </w:r>
      <w:r w:rsidR="00346704">
        <w:rPr>
          <w:szCs w:val="24"/>
          <w:lang w:val="en-GB"/>
        </w:rPr>
        <w:t>–</w:t>
      </w:r>
      <w:r w:rsidR="00A42130" w:rsidRPr="007D35B4">
        <w:rPr>
          <w:szCs w:val="24"/>
          <w:lang w:val="en-GB"/>
        </w:rPr>
        <w:t xml:space="preserve"> </w:t>
      </w:r>
      <w:r w:rsidR="0001799D" w:rsidRPr="007D35B4">
        <w:rPr>
          <w:szCs w:val="24"/>
          <w:lang w:val="en-GB"/>
        </w:rPr>
        <w:t>until the legislative amendment</w:t>
      </w:r>
      <w:r w:rsidR="0055733C" w:rsidRPr="007D35B4">
        <w:rPr>
          <w:szCs w:val="24"/>
          <w:lang w:val="en-GB"/>
        </w:rPr>
        <w:t>,</w:t>
      </w:r>
      <w:r w:rsidR="0001799D" w:rsidRPr="007D35B4">
        <w:rPr>
          <w:szCs w:val="24"/>
          <w:lang w:val="en-GB"/>
        </w:rPr>
        <w:t xml:space="preserve"> the domestic courts had consistently found in favour of companies in their situation.</w:t>
      </w:r>
      <w:r w:rsidR="00632A2E">
        <w:rPr>
          <w:szCs w:val="24"/>
          <w:lang w:val="en-GB"/>
        </w:rPr>
        <w:t xml:space="preserve"> </w:t>
      </w:r>
      <w:r w:rsidR="009B053D">
        <w:rPr>
          <w:szCs w:val="24"/>
          <w:lang w:val="en-GB"/>
        </w:rPr>
        <w:t xml:space="preserve">The established </w:t>
      </w:r>
      <w:r w:rsidR="005A022A">
        <w:rPr>
          <w:szCs w:val="24"/>
          <w:lang w:val="en-GB"/>
        </w:rPr>
        <w:t xml:space="preserve">case-law </w:t>
      </w:r>
      <w:r w:rsidR="009B053D">
        <w:rPr>
          <w:szCs w:val="24"/>
          <w:lang w:val="en-GB"/>
        </w:rPr>
        <w:t>had been based on the legislator</w:t>
      </w:r>
      <w:r w:rsidR="00864D90">
        <w:rPr>
          <w:szCs w:val="24"/>
          <w:lang w:val="en-GB"/>
        </w:rPr>
        <w:t>’</w:t>
      </w:r>
      <w:r w:rsidR="009B053D">
        <w:rPr>
          <w:szCs w:val="24"/>
          <w:lang w:val="en-GB"/>
        </w:rPr>
        <w:t>s intention</w:t>
      </w:r>
      <w:r w:rsidR="005A022A">
        <w:rPr>
          <w:szCs w:val="24"/>
          <w:lang w:val="en-GB"/>
        </w:rPr>
        <w:t>,</w:t>
      </w:r>
      <w:r w:rsidR="009B053D">
        <w:rPr>
          <w:szCs w:val="24"/>
          <w:lang w:val="en-GB"/>
        </w:rPr>
        <w:t xml:space="preserve"> as transpired from the </w:t>
      </w:r>
      <w:r w:rsidR="009B053D" w:rsidRPr="00DE1463">
        <w:rPr>
          <w:lang w:val="en-GB"/>
        </w:rPr>
        <w:t>explanatory memorandum</w:t>
      </w:r>
      <w:r w:rsidR="009B053D">
        <w:rPr>
          <w:lang w:val="en-GB"/>
        </w:rPr>
        <w:t xml:space="preserve"> issued by the Parliament</w:t>
      </w:r>
      <w:r w:rsidR="00B87746" w:rsidRPr="00B87746">
        <w:rPr>
          <w:lang w:val="en-GB"/>
        </w:rPr>
        <w:t xml:space="preserve"> </w:t>
      </w:r>
      <w:r w:rsidR="00B87746">
        <w:rPr>
          <w:lang w:val="en-GB"/>
        </w:rPr>
        <w:t>study service (</w:t>
      </w:r>
      <w:r w:rsidR="00B87746" w:rsidRPr="00691042">
        <w:rPr>
          <w:i/>
          <w:lang w:val="en-GB"/>
        </w:rPr>
        <w:t>servizio studi</w:t>
      </w:r>
      <w:r w:rsidR="00B87746">
        <w:rPr>
          <w:lang w:val="en-GB"/>
        </w:rPr>
        <w:t>)</w:t>
      </w:r>
      <w:r w:rsidR="00552DC9">
        <w:rPr>
          <w:rStyle w:val="FootnoteReference"/>
          <w:lang w:val="en-GB"/>
        </w:rPr>
        <w:footnoteReference w:id="1"/>
      </w:r>
      <w:r w:rsidR="009B053D">
        <w:rPr>
          <w:szCs w:val="24"/>
          <w:lang w:val="en-GB"/>
        </w:rPr>
        <w:t xml:space="preserve">, </w:t>
      </w:r>
      <w:r>
        <w:rPr>
          <w:szCs w:val="24"/>
          <w:lang w:val="en-GB"/>
        </w:rPr>
        <w:t xml:space="preserve">and the relevant </w:t>
      </w:r>
      <w:r w:rsidR="00911A4E">
        <w:rPr>
          <w:i/>
          <w:szCs w:val="24"/>
          <w:lang w:val="en-GB"/>
        </w:rPr>
        <w:t>travaux pr</w:t>
      </w:r>
      <w:r w:rsidR="00911A4E" w:rsidRPr="00911A4E">
        <w:rPr>
          <w:i/>
          <w:lang w:val="en-GB"/>
        </w:rPr>
        <w:t>é</w:t>
      </w:r>
      <w:r w:rsidRPr="00F0182B">
        <w:rPr>
          <w:i/>
          <w:szCs w:val="24"/>
          <w:lang w:val="en-GB"/>
        </w:rPr>
        <w:t>paratoire</w:t>
      </w:r>
      <w:r w:rsidR="00911A4E">
        <w:rPr>
          <w:i/>
          <w:szCs w:val="24"/>
          <w:lang w:val="en-GB"/>
        </w:rPr>
        <w:t>s</w:t>
      </w:r>
      <w:r w:rsidR="002A7E99">
        <w:rPr>
          <w:rStyle w:val="FootnoteReference"/>
          <w:i/>
          <w:szCs w:val="24"/>
          <w:lang w:val="en-GB"/>
        </w:rPr>
        <w:footnoteReference w:id="2"/>
      </w:r>
      <w:r>
        <w:rPr>
          <w:szCs w:val="24"/>
          <w:lang w:val="en-GB"/>
        </w:rPr>
        <w:t xml:space="preserve">, </w:t>
      </w:r>
      <w:r w:rsidR="005C3993">
        <w:rPr>
          <w:szCs w:val="24"/>
          <w:lang w:val="en-GB"/>
        </w:rPr>
        <w:t xml:space="preserve">and </w:t>
      </w:r>
      <w:r w:rsidR="009B053D">
        <w:rPr>
          <w:szCs w:val="24"/>
          <w:lang w:val="en-GB"/>
        </w:rPr>
        <w:t>it therefore could not be said that the enacted law was an interpretative law</w:t>
      </w:r>
      <w:r>
        <w:rPr>
          <w:szCs w:val="24"/>
          <w:lang w:val="en-GB"/>
        </w:rPr>
        <w:t xml:space="preserve"> – its meaning having been totally clear to the parliamentarians</w:t>
      </w:r>
      <w:r w:rsidR="009B053D">
        <w:rPr>
          <w:szCs w:val="24"/>
          <w:lang w:val="en-GB"/>
        </w:rPr>
        <w:t xml:space="preserve">. </w:t>
      </w:r>
      <w:r w:rsidR="00FD6642">
        <w:rPr>
          <w:szCs w:val="24"/>
          <w:lang w:val="en-GB"/>
        </w:rPr>
        <w:t xml:space="preserve">That </w:t>
      </w:r>
      <w:r w:rsidR="0097140E">
        <w:rPr>
          <w:szCs w:val="24"/>
          <w:lang w:val="en-GB"/>
        </w:rPr>
        <w:t xml:space="preserve">case-law </w:t>
      </w:r>
      <w:r w:rsidR="00FD6642">
        <w:rPr>
          <w:szCs w:val="24"/>
          <w:lang w:val="en-GB"/>
        </w:rPr>
        <w:t xml:space="preserve">had established that the benefits could be </w:t>
      </w:r>
      <w:r w:rsidR="005F4E38">
        <w:rPr>
          <w:szCs w:val="24"/>
          <w:lang w:val="en-GB"/>
        </w:rPr>
        <w:t>accumulated</w:t>
      </w:r>
      <w:r w:rsidR="00FD6642">
        <w:rPr>
          <w:szCs w:val="24"/>
          <w:lang w:val="en-GB"/>
        </w:rPr>
        <w:t xml:space="preserve"> both on the basis of the literal meaning of the applicable norms, which were considered to be unequivocal</w:t>
      </w:r>
      <w:r>
        <w:rPr>
          <w:szCs w:val="24"/>
          <w:lang w:val="en-GB"/>
        </w:rPr>
        <w:t>,</w:t>
      </w:r>
      <w:r w:rsidR="00FD6642">
        <w:rPr>
          <w:szCs w:val="24"/>
          <w:lang w:val="en-GB"/>
        </w:rPr>
        <w:t xml:space="preserve"> and on the basis of the </w:t>
      </w:r>
      <w:r w:rsidR="0097140E" w:rsidRPr="00691042">
        <w:rPr>
          <w:szCs w:val="24"/>
          <w:lang w:val="en-GB"/>
        </w:rPr>
        <w:t>rationale</w:t>
      </w:r>
      <w:r w:rsidR="0097140E" w:rsidRPr="0097140E">
        <w:rPr>
          <w:szCs w:val="24"/>
          <w:lang w:val="en-GB"/>
        </w:rPr>
        <w:t xml:space="preserve"> </w:t>
      </w:r>
      <w:r w:rsidR="00FD6642" w:rsidRPr="0097140E">
        <w:rPr>
          <w:szCs w:val="24"/>
          <w:lang w:val="en-GB"/>
        </w:rPr>
        <w:t>b</w:t>
      </w:r>
      <w:r w:rsidR="00FD6642">
        <w:rPr>
          <w:szCs w:val="24"/>
          <w:lang w:val="en-GB"/>
        </w:rPr>
        <w:t xml:space="preserve">ehind the </w:t>
      </w:r>
      <w:r>
        <w:rPr>
          <w:szCs w:val="24"/>
          <w:lang w:val="en-GB"/>
        </w:rPr>
        <w:t xml:space="preserve">two </w:t>
      </w:r>
      <w:r w:rsidR="00FD6642">
        <w:rPr>
          <w:szCs w:val="24"/>
          <w:lang w:val="en-GB"/>
        </w:rPr>
        <w:t>benefits</w:t>
      </w:r>
      <w:r w:rsidR="0097140E">
        <w:rPr>
          <w:szCs w:val="24"/>
          <w:lang w:val="en-GB"/>
        </w:rPr>
        <w:t>,</w:t>
      </w:r>
      <w:r w:rsidR="00FD6642">
        <w:rPr>
          <w:szCs w:val="24"/>
          <w:lang w:val="en-GB"/>
        </w:rPr>
        <w:t xml:space="preserve"> which had a different function and operated at different levels</w:t>
      </w:r>
      <w:r w:rsidR="0086472D">
        <w:rPr>
          <w:szCs w:val="24"/>
          <w:lang w:val="en-GB"/>
        </w:rPr>
        <w:t>. Indeed</w:t>
      </w:r>
      <w:r w:rsidR="0097140E">
        <w:rPr>
          <w:szCs w:val="24"/>
          <w:lang w:val="en-GB"/>
        </w:rPr>
        <w:t>,</w:t>
      </w:r>
      <w:r w:rsidR="0086472D">
        <w:rPr>
          <w:szCs w:val="24"/>
          <w:lang w:val="en-GB"/>
        </w:rPr>
        <w:t xml:space="preserve"> the applicant</w:t>
      </w:r>
      <w:r w:rsidR="00064F2E">
        <w:rPr>
          <w:szCs w:val="24"/>
          <w:lang w:val="en-GB"/>
        </w:rPr>
        <w:t xml:space="preserve"> companie</w:t>
      </w:r>
      <w:r w:rsidR="0086472D">
        <w:rPr>
          <w:szCs w:val="24"/>
          <w:lang w:val="en-GB"/>
        </w:rPr>
        <w:t xml:space="preserve">s noted that on the one hand concessions were an instrument adopted by the legislator in lieu of a direct grant of </w:t>
      </w:r>
      <w:r w:rsidR="0097140E">
        <w:rPr>
          <w:szCs w:val="24"/>
          <w:lang w:val="en-GB"/>
        </w:rPr>
        <w:t>S</w:t>
      </w:r>
      <w:r w:rsidR="0086472D">
        <w:rPr>
          <w:szCs w:val="24"/>
          <w:lang w:val="en-GB"/>
        </w:rPr>
        <w:t>tate aid to all firms</w:t>
      </w:r>
      <w:r w:rsidR="0055733C">
        <w:rPr>
          <w:rStyle w:val="FootnoteReference"/>
          <w:szCs w:val="24"/>
          <w:lang w:val="en-GB"/>
        </w:rPr>
        <w:footnoteReference w:id="3"/>
      </w:r>
      <w:r w:rsidR="0086472D">
        <w:rPr>
          <w:szCs w:val="24"/>
          <w:lang w:val="en-GB"/>
        </w:rPr>
        <w:t xml:space="preserve"> and on the other hand exemptions were direct benefits aimed at </w:t>
      </w:r>
      <w:r w:rsidR="0097140E">
        <w:rPr>
          <w:szCs w:val="24"/>
          <w:lang w:val="en-GB"/>
        </w:rPr>
        <w:t xml:space="preserve">supporting </w:t>
      </w:r>
      <w:r w:rsidR="0086472D">
        <w:rPr>
          <w:szCs w:val="24"/>
          <w:lang w:val="en-GB"/>
        </w:rPr>
        <w:t>employer</w:t>
      </w:r>
      <w:r w:rsidR="0097140E">
        <w:rPr>
          <w:szCs w:val="24"/>
          <w:lang w:val="en-GB"/>
        </w:rPr>
        <w:t>s</w:t>
      </w:r>
      <w:r w:rsidR="0086472D">
        <w:rPr>
          <w:szCs w:val="24"/>
          <w:lang w:val="en-GB"/>
        </w:rPr>
        <w:t xml:space="preserve"> in the agricultural sector who operated in zones and territories </w:t>
      </w:r>
      <w:r w:rsidR="0097140E">
        <w:rPr>
          <w:szCs w:val="24"/>
          <w:lang w:val="en-GB"/>
        </w:rPr>
        <w:t>with</w:t>
      </w:r>
      <w:r w:rsidR="0086472D">
        <w:rPr>
          <w:szCs w:val="24"/>
          <w:lang w:val="en-GB"/>
        </w:rPr>
        <w:t xml:space="preserve"> particular disadvantages. </w:t>
      </w:r>
      <w:r w:rsidR="00E15B30">
        <w:rPr>
          <w:lang w:val="en-GB"/>
        </w:rPr>
        <w:t>The</w:t>
      </w:r>
      <w:r w:rsidR="0086472D">
        <w:rPr>
          <w:lang w:val="en-GB"/>
        </w:rPr>
        <w:t>y noted that the</w:t>
      </w:r>
      <w:r w:rsidR="00E15B30">
        <w:rPr>
          <w:lang w:val="en-GB"/>
        </w:rPr>
        <w:t xml:space="preserve"> Court of Cassation had explicitly held that the two benefits were not incompatible and that t</w:t>
      </w:r>
      <w:r w:rsidR="00E15B30" w:rsidRPr="00DE1463">
        <w:rPr>
          <w:lang w:val="en-GB"/>
        </w:rPr>
        <w:t>hey had been provided for by different laws and had different aims</w:t>
      </w:r>
      <w:r w:rsidR="001C20C0">
        <w:rPr>
          <w:lang w:val="en-GB"/>
        </w:rPr>
        <w:t xml:space="preserve"> (see paragraph 53 and 54</w:t>
      </w:r>
      <w:r w:rsidR="00E15B30">
        <w:rPr>
          <w:lang w:val="en-GB"/>
        </w:rPr>
        <w:t xml:space="preserve"> above).</w:t>
      </w:r>
      <w:r>
        <w:rPr>
          <w:lang w:val="en-GB"/>
        </w:rPr>
        <w:t xml:space="preserve"> In that li</w:t>
      </w:r>
      <w:r w:rsidR="001C20C0">
        <w:rPr>
          <w:lang w:val="en-GB"/>
        </w:rPr>
        <w:t>ght, according to the applicant companies</w:t>
      </w:r>
      <w:r>
        <w:rPr>
          <w:lang w:val="en-GB"/>
        </w:rPr>
        <w:t xml:space="preserve">, it could not have been considered an interpretative law and it </w:t>
      </w:r>
      <w:r w:rsidR="0097140E">
        <w:rPr>
          <w:lang w:val="en-GB"/>
        </w:rPr>
        <w:t>had been referred to as such</w:t>
      </w:r>
      <w:r>
        <w:rPr>
          <w:lang w:val="en-GB"/>
        </w:rPr>
        <w:t xml:space="preserve"> at the domestic level only to get away with a ret</w:t>
      </w:r>
      <w:r w:rsidR="001C20C0">
        <w:rPr>
          <w:lang w:val="en-GB"/>
        </w:rPr>
        <w:t>roactive application of the law</w:t>
      </w:r>
      <w:r>
        <w:rPr>
          <w:lang w:val="en-GB"/>
        </w:rPr>
        <w:t xml:space="preserve"> to accommodate the INPS</w:t>
      </w:r>
      <w:r w:rsidR="0097140E">
        <w:rPr>
          <w:lang w:val="en-GB"/>
        </w:rPr>
        <w:t>,</w:t>
      </w:r>
      <w:r>
        <w:rPr>
          <w:lang w:val="en-GB"/>
        </w:rPr>
        <w:t xml:space="preserve"> </w:t>
      </w:r>
      <w:r w:rsidR="0097140E">
        <w:rPr>
          <w:lang w:val="en-GB"/>
        </w:rPr>
        <w:t xml:space="preserve">which </w:t>
      </w:r>
      <w:r>
        <w:rPr>
          <w:lang w:val="en-GB"/>
        </w:rPr>
        <w:t>had opted not to follow the evident meaning of the then applicable norms.</w:t>
      </w:r>
    </w:p>
    <w:p w:rsidR="00632A2E" w:rsidRDefault="001C20C0" w:rsidP="009B0194">
      <w:pPr>
        <w:pStyle w:val="ECHRPara"/>
        <w:rPr>
          <w:snapToGrid w:val="0"/>
          <w:lang w:val="en-GB"/>
        </w:rPr>
      </w:pPr>
      <w:r>
        <w:rPr>
          <w:szCs w:val="24"/>
          <w:lang w:val="en-GB"/>
        </w:rPr>
        <w:fldChar w:fldCharType="begin"/>
      </w:r>
      <w:r>
        <w:rPr>
          <w:szCs w:val="24"/>
          <w:lang w:val="en-GB"/>
        </w:rPr>
        <w:instrText xml:space="preserve"> SEQ level0 \*arabic </w:instrText>
      </w:r>
      <w:r>
        <w:rPr>
          <w:szCs w:val="24"/>
          <w:lang w:val="en-GB"/>
        </w:rPr>
        <w:fldChar w:fldCharType="separate"/>
      </w:r>
      <w:r w:rsidR="00D471CA">
        <w:rPr>
          <w:noProof/>
          <w:szCs w:val="24"/>
          <w:lang w:val="en-GB"/>
        </w:rPr>
        <w:t>64</w:t>
      </w:r>
      <w:r>
        <w:rPr>
          <w:szCs w:val="24"/>
          <w:lang w:val="en-GB"/>
        </w:rPr>
        <w:fldChar w:fldCharType="end"/>
      </w:r>
      <w:r>
        <w:rPr>
          <w:szCs w:val="24"/>
          <w:lang w:val="en-GB"/>
        </w:rPr>
        <w:t>.  </w:t>
      </w:r>
      <w:r w:rsidR="009B053D">
        <w:rPr>
          <w:szCs w:val="24"/>
          <w:lang w:val="en-GB"/>
        </w:rPr>
        <w:t xml:space="preserve">Moreover, interpretative laws had to be considered as an exception to the rule, particularly given the importance of the separation of powers upon which a democratic society was founded and which provided that it was for the judiciary to interpret </w:t>
      </w:r>
      <w:r w:rsidR="000E4A13">
        <w:rPr>
          <w:szCs w:val="24"/>
          <w:lang w:val="en-GB"/>
        </w:rPr>
        <w:t xml:space="preserve">and apply </w:t>
      </w:r>
      <w:r w:rsidR="009B053D">
        <w:rPr>
          <w:szCs w:val="24"/>
          <w:lang w:val="en-GB"/>
        </w:rPr>
        <w:t xml:space="preserve">laws and </w:t>
      </w:r>
      <w:r w:rsidR="000E4A13">
        <w:rPr>
          <w:szCs w:val="24"/>
          <w:lang w:val="en-GB"/>
        </w:rPr>
        <w:t xml:space="preserve">therefore to </w:t>
      </w:r>
      <w:r w:rsidR="009B053D">
        <w:rPr>
          <w:szCs w:val="24"/>
          <w:lang w:val="en-GB"/>
        </w:rPr>
        <w:t>decide dispute</w:t>
      </w:r>
      <w:r w:rsidR="000E4A13">
        <w:rPr>
          <w:szCs w:val="24"/>
          <w:lang w:val="en-GB"/>
        </w:rPr>
        <w:t>s</w:t>
      </w:r>
      <w:r w:rsidR="009B053D">
        <w:rPr>
          <w:szCs w:val="24"/>
          <w:lang w:val="en-GB"/>
        </w:rPr>
        <w:t xml:space="preserve">. This was even more relevant when </w:t>
      </w:r>
      <w:r w:rsidR="00744DC6">
        <w:rPr>
          <w:szCs w:val="24"/>
          <w:lang w:val="en-GB"/>
        </w:rPr>
        <w:t xml:space="preserve">a </w:t>
      </w:r>
      <w:r w:rsidR="009B053D">
        <w:rPr>
          <w:szCs w:val="24"/>
          <w:lang w:val="en-GB"/>
        </w:rPr>
        <w:t>dispute arose between a private party and the public administration.</w:t>
      </w:r>
      <w:r w:rsidR="00632A2E">
        <w:rPr>
          <w:szCs w:val="24"/>
          <w:lang w:val="en-GB"/>
        </w:rPr>
        <w:t xml:space="preserve"> </w:t>
      </w:r>
      <w:r w:rsidR="000E4A13">
        <w:rPr>
          <w:szCs w:val="24"/>
          <w:lang w:val="en-GB"/>
        </w:rPr>
        <w:t>Ergo, even interpretative laws could not be used as an instrument by the legislator to favour the public administration</w:t>
      </w:r>
      <w:r w:rsidR="008F7595">
        <w:rPr>
          <w:szCs w:val="24"/>
          <w:lang w:val="en-GB"/>
        </w:rPr>
        <w:t xml:space="preserve">, </w:t>
      </w:r>
      <w:r w:rsidR="00744DC6">
        <w:rPr>
          <w:szCs w:val="24"/>
          <w:lang w:val="en-GB"/>
        </w:rPr>
        <w:t>that is,</w:t>
      </w:r>
      <w:r w:rsidR="008F7595">
        <w:rPr>
          <w:szCs w:val="24"/>
          <w:lang w:val="en-GB"/>
        </w:rPr>
        <w:t xml:space="preserve"> itself</w:t>
      </w:r>
      <w:r w:rsidR="000E4A13">
        <w:rPr>
          <w:szCs w:val="24"/>
          <w:lang w:val="en-GB"/>
        </w:rPr>
        <w:t xml:space="preserve">. </w:t>
      </w:r>
      <w:r w:rsidR="004438F2">
        <w:rPr>
          <w:szCs w:val="24"/>
          <w:lang w:val="en-GB"/>
        </w:rPr>
        <w:t xml:space="preserve">However, in Italy it was </w:t>
      </w:r>
      <w:r w:rsidR="00744DC6">
        <w:rPr>
          <w:szCs w:val="24"/>
          <w:lang w:val="en-GB"/>
        </w:rPr>
        <w:t xml:space="preserve">common </w:t>
      </w:r>
      <w:r w:rsidR="004438F2">
        <w:rPr>
          <w:szCs w:val="24"/>
          <w:lang w:val="en-GB"/>
        </w:rPr>
        <w:t xml:space="preserve">practice to introduce “interpretative” provisions in matters involving financial interests to secure higher income (or lower expenditure) for the public administration. They referred, for instance, to the various considerations made </w:t>
      </w:r>
      <w:r w:rsidR="00C414A0">
        <w:rPr>
          <w:szCs w:val="24"/>
          <w:lang w:val="en-GB"/>
        </w:rPr>
        <w:t>by</w:t>
      </w:r>
      <w:r w:rsidR="004438F2">
        <w:rPr>
          <w:szCs w:val="24"/>
          <w:lang w:val="en-GB"/>
        </w:rPr>
        <w:t xml:space="preserve"> the Court of Cassation (in its highest formation)</w:t>
      </w:r>
      <w:r w:rsidR="00C414A0">
        <w:rPr>
          <w:szCs w:val="24"/>
          <w:lang w:val="en-GB"/>
        </w:rPr>
        <w:t xml:space="preserve"> in</w:t>
      </w:r>
      <w:r w:rsidR="004438F2">
        <w:rPr>
          <w:szCs w:val="24"/>
          <w:lang w:val="en-GB"/>
        </w:rPr>
        <w:t xml:space="preserve"> judgment </w:t>
      </w:r>
      <w:r w:rsidR="00553AB2">
        <w:rPr>
          <w:szCs w:val="24"/>
          <w:lang w:val="en-GB"/>
        </w:rPr>
        <w:t>no. </w:t>
      </w:r>
      <w:r w:rsidR="004438F2">
        <w:rPr>
          <w:szCs w:val="24"/>
          <w:lang w:val="en-GB"/>
        </w:rPr>
        <w:t>25506 of 2006 concerning similar circumstances.</w:t>
      </w:r>
      <w:r w:rsidR="00632A2E">
        <w:rPr>
          <w:szCs w:val="24"/>
          <w:lang w:val="en-GB"/>
        </w:rPr>
        <w:t xml:space="preserve"> </w:t>
      </w:r>
      <w:r w:rsidR="00FE32F0">
        <w:rPr>
          <w:szCs w:val="24"/>
          <w:lang w:val="en-GB"/>
        </w:rPr>
        <w:t>They further referred to the Court</w:t>
      </w:r>
      <w:r w:rsidR="00864D90">
        <w:rPr>
          <w:szCs w:val="24"/>
          <w:lang w:val="en-GB"/>
        </w:rPr>
        <w:t>’</w:t>
      </w:r>
      <w:r w:rsidR="00FE32F0">
        <w:rPr>
          <w:szCs w:val="24"/>
          <w:lang w:val="en-GB"/>
        </w:rPr>
        <w:t xml:space="preserve">s judgments in </w:t>
      </w:r>
      <w:r w:rsidR="00FE32F0" w:rsidRPr="00B668D2">
        <w:rPr>
          <w:i/>
          <w:lang w:val="en-GB"/>
        </w:rPr>
        <w:t>Maggio and Others v. Italy</w:t>
      </w:r>
      <w:r w:rsidR="00FE32F0" w:rsidRPr="00B668D2">
        <w:rPr>
          <w:lang w:val="en-GB"/>
        </w:rPr>
        <w:t xml:space="preserve"> </w:t>
      </w:r>
      <w:r w:rsidR="00FE32F0">
        <w:rPr>
          <w:lang w:val="en-GB"/>
        </w:rPr>
        <w:t>(</w:t>
      </w:r>
      <w:r w:rsidR="00FE32F0" w:rsidRPr="00B668D2">
        <w:rPr>
          <w:lang w:val="en-GB"/>
        </w:rPr>
        <w:t>nos. 46286/09, 52851/08, 53727/08, 54486/08 and 56001/08</w:t>
      </w:r>
      <w:r w:rsidR="00FE32F0" w:rsidRPr="00B668D2">
        <w:rPr>
          <w:snapToGrid w:val="0"/>
          <w:szCs w:val="24"/>
          <w:lang w:val="en-GB"/>
        </w:rPr>
        <w:t>, 31 May 2011</w:t>
      </w:r>
      <w:r w:rsidR="00FE32F0">
        <w:rPr>
          <w:snapToGrid w:val="0"/>
          <w:szCs w:val="24"/>
          <w:lang w:val="en-GB"/>
        </w:rPr>
        <w:t>),</w:t>
      </w:r>
      <w:r w:rsidR="00FE32F0">
        <w:rPr>
          <w:szCs w:val="24"/>
          <w:lang w:val="en-GB"/>
        </w:rPr>
        <w:t xml:space="preserve"> </w:t>
      </w:r>
      <w:r w:rsidR="00FE32F0" w:rsidRPr="00B668D2">
        <w:rPr>
          <w:i/>
          <w:lang w:val="en-GB"/>
        </w:rPr>
        <w:t>Agrati and Others v. Italy</w:t>
      </w:r>
      <w:r w:rsidR="00FE32F0">
        <w:rPr>
          <w:lang w:val="en-GB"/>
        </w:rPr>
        <w:t xml:space="preserve"> (</w:t>
      </w:r>
      <w:r w:rsidR="00FE32F0" w:rsidRPr="00B668D2">
        <w:rPr>
          <w:lang w:val="en-GB"/>
        </w:rPr>
        <w:t>nos. 43549/08, 6107/09 and 5087/09</w:t>
      </w:r>
      <w:r w:rsidR="00FE32F0" w:rsidRPr="00B668D2">
        <w:rPr>
          <w:snapToGrid w:val="0"/>
          <w:szCs w:val="24"/>
          <w:lang w:val="en-GB"/>
        </w:rPr>
        <w:t>, 7 June 2011</w:t>
      </w:r>
      <w:r w:rsidR="00FE32F0">
        <w:rPr>
          <w:snapToGrid w:val="0"/>
          <w:szCs w:val="24"/>
          <w:lang w:val="en-GB"/>
        </w:rPr>
        <w:t xml:space="preserve">), </w:t>
      </w:r>
      <w:r w:rsidR="00FE32F0" w:rsidRPr="00B668D2">
        <w:rPr>
          <w:i/>
          <w:lang w:val="en-GB"/>
        </w:rPr>
        <w:t>Arras and Others v. Italy</w:t>
      </w:r>
      <w:r w:rsidR="00FE32F0" w:rsidRPr="00B668D2">
        <w:rPr>
          <w:lang w:val="en-GB"/>
        </w:rPr>
        <w:t xml:space="preserve"> </w:t>
      </w:r>
      <w:r w:rsidR="00FE32F0">
        <w:rPr>
          <w:lang w:val="en-GB"/>
        </w:rPr>
        <w:t>(</w:t>
      </w:r>
      <w:r w:rsidR="00FE32F0" w:rsidRPr="00B668D2">
        <w:rPr>
          <w:lang w:val="en-GB"/>
        </w:rPr>
        <w:t>no. 17972/07</w:t>
      </w:r>
      <w:r w:rsidR="00FE32F0" w:rsidRPr="00B668D2">
        <w:rPr>
          <w:snapToGrid w:val="0"/>
          <w:szCs w:val="24"/>
          <w:lang w:val="en-GB"/>
        </w:rPr>
        <w:t>, 14 February 2012</w:t>
      </w:r>
      <w:r w:rsidR="00FE32F0">
        <w:rPr>
          <w:snapToGrid w:val="0"/>
          <w:szCs w:val="24"/>
          <w:lang w:val="en-GB"/>
        </w:rPr>
        <w:t xml:space="preserve">), and </w:t>
      </w:r>
      <w:r w:rsidR="00FE32F0" w:rsidRPr="00081659">
        <w:rPr>
          <w:i/>
          <w:lang w:val="en-GB"/>
        </w:rPr>
        <w:t>De Rosa v. Italy</w:t>
      </w:r>
      <w:r w:rsidR="00FE32F0" w:rsidRPr="00081659">
        <w:rPr>
          <w:lang w:val="en-GB"/>
        </w:rPr>
        <w:t xml:space="preserve"> </w:t>
      </w:r>
      <w:r w:rsidR="00FE32F0">
        <w:rPr>
          <w:lang w:val="en-GB"/>
        </w:rPr>
        <w:t>(</w:t>
      </w:r>
      <w:r w:rsidR="00FE32F0" w:rsidRPr="00081659">
        <w:rPr>
          <w:lang w:val="en-GB"/>
        </w:rPr>
        <w:t>nos. 52888/08, 58528/08, 59194/08, 60462/08, 60473/08, 60628/08, 61116/08, 61131/08, 61139/08, 61143/08, 610/09, 4995/09, 5068/09 and 5141/09</w:t>
      </w:r>
      <w:r w:rsidR="00FE32F0">
        <w:rPr>
          <w:snapToGrid w:val="0"/>
          <w:lang w:val="en-GB"/>
        </w:rPr>
        <w:t xml:space="preserve">, </w:t>
      </w:r>
      <w:r w:rsidR="00FE32F0" w:rsidRPr="00081659">
        <w:rPr>
          <w:snapToGrid w:val="0"/>
          <w:lang w:val="en-GB"/>
        </w:rPr>
        <w:t xml:space="preserve">11 </w:t>
      </w:r>
      <w:r w:rsidR="00FE32F0" w:rsidRPr="00081659">
        <w:rPr>
          <w:lang w:val="en-GB"/>
        </w:rPr>
        <w:t>December</w:t>
      </w:r>
      <w:r w:rsidR="00FE32F0" w:rsidRPr="00081659">
        <w:rPr>
          <w:snapToGrid w:val="0"/>
          <w:lang w:val="en-GB"/>
        </w:rPr>
        <w:t xml:space="preserve"> 2012</w:t>
      </w:r>
      <w:r w:rsidR="00FE32F0">
        <w:rPr>
          <w:snapToGrid w:val="0"/>
          <w:lang w:val="en-GB"/>
        </w:rPr>
        <w:t xml:space="preserve">) where the Court </w:t>
      </w:r>
      <w:r w:rsidR="00756A91">
        <w:rPr>
          <w:snapToGrid w:val="0"/>
          <w:lang w:val="en-GB"/>
        </w:rPr>
        <w:t xml:space="preserve">had </w:t>
      </w:r>
      <w:r w:rsidR="00FE32F0">
        <w:rPr>
          <w:snapToGrid w:val="0"/>
          <w:lang w:val="en-GB"/>
        </w:rPr>
        <w:t>found violations of Article 6 resulting from the retroactive application of various so</w:t>
      </w:r>
      <w:r w:rsidR="00756A91">
        <w:rPr>
          <w:snapToGrid w:val="0"/>
          <w:lang w:val="en-GB"/>
        </w:rPr>
        <w:t>-</w:t>
      </w:r>
      <w:r w:rsidR="00FE32F0">
        <w:rPr>
          <w:snapToGrid w:val="0"/>
          <w:lang w:val="en-GB"/>
        </w:rPr>
        <w:t>called interpretative provisions, enacted solely for financial reasons.</w:t>
      </w:r>
    </w:p>
    <w:p w:rsidR="00C47EAC" w:rsidRPr="00704C07" w:rsidRDefault="00123AE4" w:rsidP="009B0194">
      <w:pPr>
        <w:pStyle w:val="ECHRPara"/>
        <w:rPr>
          <w:snapToGrid w:val="0"/>
          <w:lang w:val="en-GB"/>
        </w:rPr>
      </w:pPr>
      <w:r w:rsidRPr="00704C07">
        <w:rPr>
          <w:snapToGrid w:val="0"/>
          <w:lang w:val="en-GB"/>
        </w:rPr>
        <w:fldChar w:fldCharType="begin"/>
      </w:r>
      <w:r w:rsidRPr="00704C07">
        <w:rPr>
          <w:snapToGrid w:val="0"/>
          <w:lang w:val="en-GB"/>
        </w:rPr>
        <w:instrText xml:space="preserve"> SEQ level0 \*arabic </w:instrText>
      </w:r>
      <w:r w:rsidRPr="00704C07">
        <w:rPr>
          <w:snapToGrid w:val="0"/>
          <w:lang w:val="en-GB"/>
        </w:rPr>
        <w:fldChar w:fldCharType="separate"/>
      </w:r>
      <w:r w:rsidR="00D471CA">
        <w:rPr>
          <w:noProof/>
          <w:snapToGrid w:val="0"/>
          <w:lang w:val="en-GB"/>
        </w:rPr>
        <w:t>65</w:t>
      </w:r>
      <w:r w:rsidRPr="00704C07">
        <w:rPr>
          <w:snapToGrid w:val="0"/>
          <w:lang w:val="en-GB"/>
        </w:rPr>
        <w:fldChar w:fldCharType="end"/>
      </w:r>
      <w:r w:rsidRPr="00704C07">
        <w:rPr>
          <w:snapToGrid w:val="0"/>
          <w:lang w:val="en-GB"/>
        </w:rPr>
        <w:t>.  </w:t>
      </w:r>
      <w:r w:rsidR="00C30316" w:rsidRPr="00704C07">
        <w:rPr>
          <w:snapToGrid w:val="0"/>
          <w:lang w:val="en-GB"/>
        </w:rPr>
        <w:t>The applicant</w:t>
      </w:r>
      <w:r w:rsidR="00184F8E" w:rsidRPr="00704C07">
        <w:rPr>
          <w:snapToGrid w:val="0"/>
          <w:lang w:val="en-GB"/>
        </w:rPr>
        <w:t xml:space="preserve"> companies</w:t>
      </w:r>
      <w:r w:rsidR="00C30316" w:rsidRPr="00704C07">
        <w:rPr>
          <w:snapToGrid w:val="0"/>
          <w:lang w:val="en-GB"/>
        </w:rPr>
        <w:t xml:space="preserve"> </w:t>
      </w:r>
      <w:r w:rsidR="00184F8E" w:rsidRPr="00704C07">
        <w:rPr>
          <w:snapToGrid w:val="0"/>
          <w:lang w:val="en-GB"/>
        </w:rPr>
        <w:t>distinguished the</w:t>
      </w:r>
      <w:r w:rsidR="00704C07" w:rsidRPr="00704C07">
        <w:rPr>
          <w:snapToGrid w:val="0"/>
          <w:lang w:val="en-GB"/>
        </w:rPr>
        <w:t>ir</w:t>
      </w:r>
      <w:r w:rsidR="00184F8E" w:rsidRPr="00704C07">
        <w:rPr>
          <w:snapToGrid w:val="0"/>
          <w:lang w:val="en-GB"/>
        </w:rPr>
        <w:t xml:space="preserve"> case from that of </w:t>
      </w:r>
      <w:r w:rsidR="00184F8E" w:rsidRPr="00704C07">
        <w:rPr>
          <w:i/>
          <w:iCs/>
          <w:lang w:val="en-GB"/>
        </w:rPr>
        <w:t xml:space="preserve">National &amp; </w:t>
      </w:r>
      <w:r w:rsidR="00184F8E" w:rsidRPr="00704C07">
        <w:rPr>
          <w:bCs/>
          <w:i/>
          <w:iCs/>
          <w:lang w:val="en-GB"/>
        </w:rPr>
        <w:t>Provincial</w:t>
      </w:r>
      <w:r w:rsidR="00184F8E" w:rsidRPr="00704C07">
        <w:rPr>
          <w:i/>
          <w:iCs/>
          <w:lang w:val="en-GB"/>
        </w:rPr>
        <w:t xml:space="preserve"> </w:t>
      </w:r>
      <w:r w:rsidR="00184F8E" w:rsidRPr="00704C07">
        <w:rPr>
          <w:bCs/>
          <w:i/>
          <w:iCs/>
          <w:lang w:val="en-GB"/>
        </w:rPr>
        <w:t>Building</w:t>
      </w:r>
      <w:r w:rsidR="00184F8E" w:rsidRPr="00704C07">
        <w:rPr>
          <w:i/>
          <w:iCs/>
          <w:lang w:val="en-GB"/>
        </w:rPr>
        <w:t xml:space="preserve"> </w:t>
      </w:r>
      <w:r w:rsidR="00184F8E" w:rsidRPr="00704C07">
        <w:rPr>
          <w:bCs/>
          <w:i/>
          <w:iCs/>
          <w:lang w:val="en-GB"/>
        </w:rPr>
        <w:t>Society</w:t>
      </w:r>
      <w:r w:rsidR="00184F8E" w:rsidRPr="00704C07">
        <w:rPr>
          <w:i/>
          <w:iCs/>
          <w:lang w:val="en-GB"/>
        </w:rPr>
        <w:t>, Leeds Permanent Building Society and Yorkshire Building Society v. the United Kingdom</w:t>
      </w:r>
      <w:r w:rsidR="00C414A0">
        <w:rPr>
          <w:lang w:val="en-GB"/>
        </w:rPr>
        <w:t xml:space="preserve"> (nos. 21319/03, 21449/93 and 21675/93, </w:t>
      </w:r>
      <w:r w:rsidR="00184F8E" w:rsidRPr="00704C07">
        <w:rPr>
          <w:lang w:val="en-GB"/>
        </w:rPr>
        <w:t>23 October 1997</w:t>
      </w:r>
      <w:r w:rsidR="00C414A0">
        <w:rPr>
          <w:lang w:val="en-GB"/>
        </w:rPr>
        <w:t xml:space="preserve">, </w:t>
      </w:r>
      <w:r w:rsidR="00C414A0">
        <w:rPr>
          <w:i/>
          <w:lang w:val="en-GB"/>
        </w:rPr>
        <w:t>Reports of Judgments and Decisions</w:t>
      </w:r>
      <w:r w:rsidR="00C414A0">
        <w:rPr>
          <w:lang w:val="en-GB"/>
        </w:rPr>
        <w:t xml:space="preserve"> 1997-VII)</w:t>
      </w:r>
      <w:r w:rsidR="00184F8E" w:rsidRPr="00704C07">
        <w:rPr>
          <w:lang w:val="en-GB"/>
        </w:rPr>
        <w:t>.</w:t>
      </w:r>
      <w:r w:rsidR="00184F8E" w:rsidRPr="00704C07">
        <w:rPr>
          <w:snapToGrid w:val="0"/>
          <w:lang w:val="en-GB"/>
        </w:rPr>
        <w:t xml:space="preserve"> They </w:t>
      </w:r>
      <w:r w:rsidR="00C30316" w:rsidRPr="00704C07">
        <w:rPr>
          <w:snapToGrid w:val="0"/>
          <w:lang w:val="en-GB"/>
        </w:rPr>
        <w:t xml:space="preserve">noted that </w:t>
      </w:r>
      <w:r w:rsidR="006C14A0">
        <w:rPr>
          <w:snapToGrid w:val="0"/>
          <w:lang w:val="en-GB"/>
        </w:rPr>
        <w:t xml:space="preserve">they </w:t>
      </w:r>
      <w:r w:rsidR="009C2974" w:rsidRPr="00704C07">
        <w:rPr>
          <w:snapToGrid w:val="0"/>
          <w:lang w:val="en-GB"/>
        </w:rPr>
        <w:t xml:space="preserve">had been induced </w:t>
      </w:r>
      <w:r w:rsidR="006C14A0">
        <w:rPr>
          <w:snapToGrid w:val="0"/>
          <w:lang w:val="en-GB"/>
        </w:rPr>
        <w:t>in</w:t>
      </w:r>
      <w:r w:rsidR="00C414A0">
        <w:rPr>
          <w:snapToGrid w:val="0"/>
          <w:lang w:val="en-GB"/>
        </w:rPr>
        <w:t>to</w:t>
      </w:r>
      <w:r w:rsidR="006C14A0">
        <w:rPr>
          <w:snapToGrid w:val="0"/>
          <w:lang w:val="en-GB"/>
        </w:rPr>
        <w:t xml:space="preserve"> error </w:t>
      </w:r>
      <w:r w:rsidR="009C2974" w:rsidRPr="00704C07">
        <w:rPr>
          <w:snapToGrid w:val="0"/>
          <w:lang w:val="en-GB"/>
        </w:rPr>
        <w:t>by the INPS</w:t>
      </w:r>
      <w:r w:rsidR="00756A91">
        <w:rPr>
          <w:snapToGrid w:val="0"/>
          <w:lang w:val="en-GB"/>
        </w:rPr>
        <w:t>,</w:t>
      </w:r>
      <w:r w:rsidR="009C2974" w:rsidRPr="00704C07">
        <w:rPr>
          <w:snapToGrid w:val="0"/>
          <w:lang w:val="en-GB"/>
        </w:rPr>
        <w:t xml:space="preserve"> which had immediately applied the law in the most favourable way to it. Nevertheless, </w:t>
      </w:r>
      <w:r w:rsidR="00C30316" w:rsidRPr="00704C07">
        <w:rPr>
          <w:snapToGrid w:val="0"/>
          <w:lang w:val="en-GB"/>
        </w:rPr>
        <w:t xml:space="preserve">certain </w:t>
      </w:r>
      <w:r w:rsidR="004C25C2">
        <w:rPr>
          <w:snapToGrid w:val="0"/>
          <w:lang w:val="en-GB"/>
        </w:rPr>
        <w:t>companies</w:t>
      </w:r>
      <w:r w:rsidR="00C30316" w:rsidRPr="00704C07">
        <w:rPr>
          <w:snapToGrid w:val="0"/>
          <w:lang w:val="en-GB"/>
        </w:rPr>
        <w:t>, particularly Floramiata Spa</w:t>
      </w:r>
      <w:r w:rsidR="004C25C2">
        <w:rPr>
          <w:snapToGrid w:val="0"/>
          <w:lang w:val="en-GB"/>
        </w:rPr>
        <w:t>,</w:t>
      </w:r>
      <w:r w:rsidR="00C30316" w:rsidRPr="00704C07">
        <w:rPr>
          <w:snapToGrid w:val="0"/>
          <w:lang w:val="en-GB"/>
        </w:rPr>
        <w:t xml:space="preserve"> had immediately, as ear</w:t>
      </w:r>
      <w:r w:rsidR="00C540FC" w:rsidRPr="00704C07">
        <w:rPr>
          <w:snapToGrid w:val="0"/>
          <w:lang w:val="en-GB"/>
        </w:rPr>
        <w:t>ly as 1993</w:t>
      </w:r>
      <w:r w:rsidR="004C25C2">
        <w:rPr>
          <w:snapToGrid w:val="0"/>
          <w:lang w:val="en-GB"/>
        </w:rPr>
        <w:t>,</w:t>
      </w:r>
      <w:r w:rsidR="00C30316" w:rsidRPr="00704C07">
        <w:rPr>
          <w:snapToGrid w:val="0"/>
          <w:lang w:val="en-GB"/>
        </w:rPr>
        <w:t xml:space="preserve"> taken</w:t>
      </w:r>
      <w:r w:rsidR="00C540FC" w:rsidRPr="00704C07">
        <w:rPr>
          <w:snapToGrid w:val="0"/>
          <w:lang w:val="en-GB"/>
        </w:rPr>
        <w:t xml:space="preserve"> administrative and subsequently</w:t>
      </w:r>
      <w:r w:rsidR="00C30316" w:rsidRPr="00704C07">
        <w:rPr>
          <w:snapToGrid w:val="0"/>
          <w:lang w:val="en-GB"/>
        </w:rPr>
        <w:t xml:space="preserve"> </w:t>
      </w:r>
      <w:r w:rsidR="00C540FC" w:rsidRPr="00704C07">
        <w:rPr>
          <w:snapToGrid w:val="0"/>
          <w:lang w:val="en-GB"/>
        </w:rPr>
        <w:t xml:space="preserve">judicial </w:t>
      </w:r>
      <w:r w:rsidR="00C30316" w:rsidRPr="00704C07">
        <w:rPr>
          <w:snapToGrid w:val="0"/>
          <w:lang w:val="en-GB"/>
        </w:rPr>
        <w:t>action a</w:t>
      </w:r>
      <w:r w:rsidR="00C540FC" w:rsidRPr="00704C07">
        <w:rPr>
          <w:snapToGrid w:val="0"/>
          <w:lang w:val="en-GB"/>
        </w:rPr>
        <w:t>gainst the INPS to contest the latter</w:t>
      </w:r>
      <w:r w:rsidR="00864D90">
        <w:rPr>
          <w:snapToGrid w:val="0"/>
          <w:lang w:val="en-GB"/>
        </w:rPr>
        <w:t>’</w:t>
      </w:r>
      <w:r w:rsidR="00C540FC" w:rsidRPr="00704C07">
        <w:rPr>
          <w:snapToGrid w:val="0"/>
          <w:lang w:val="en-GB"/>
        </w:rPr>
        <w:t>s</w:t>
      </w:r>
      <w:r w:rsidR="00C30316" w:rsidRPr="00704C07">
        <w:rPr>
          <w:snapToGrid w:val="0"/>
          <w:lang w:val="en-GB"/>
        </w:rPr>
        <w:t xml:space="preserve"> interpretation of the law by circular no. 160 of 1988. </w:t>
      </w:r>
      <w:r w:rsidR="006F13A8" w:rsidRPr="00704C07">
        <w:rPr>
          <w:snapToGrid w:val="0"/>
          <w:lang w:val="en-GB"/>
        </w:rPr>
        <w:t>At the time,</w:t>
      </w:r>
      <w:r w:rsidR="00C30316" w:rsidRPr="00704C07">
        <w:rPr>
          <w:snapToGrid w:val="0"/>
          <w:lang w:val="en-GB"/>
        </w:rPr>
        <w:t xml:space="preserve"> </w:t>
      </w:r>
      <w:r w:rsidR="006F13A8" w:rsidRPr="00704C07">
        <w:rPr>
          <w:snapToGrid w:val="0"/>
          <w:lang w:val="en-GB"/>
        </w:rPr>
        <w:t xml:space="preserve">the </w:t>
      </w:r>
      <w:r w:rsidR="00C30316" w:rsidRPr="00704C07">
        <w:rPr>
          <w:snapToGrid w:val="0"/>
          <w:lang w:val="en-GB"/>
        </w:rPr>
        <w:t xml:space="preserve">agricultural associations had kept abreast </w:t>
      </w:r>
      <w:r w:rsidR="004C25C2">
        <w:rPr>
          <w:snapToGrid w:val="0"/>
          <w:lang w:val="en-GB"/>
        </w:rPr>
        <w:t>of</w:t>
      </w:r>
      <w:r w:rsidR="004C25C2" w:rsidRPr="00704C07">
        <w:rPr>
          <w:snapToGrid w:val="0"/>
          <w:lang w:val="en-GB"/>
        </w:rPr>
        <w:t xml:space="preserve"> </w:t>
      </w:r>
      <w:r w:rsidR="00C30316" w:rsidRPr="00704C07">
        <w:rPr>
          <w:snapToGrid w:val="0"/>
          <w:lang w:val="en-GB"/>
        </w:rPr>
        <w:t xml:space="preserve">the </w:t>
      </w:r>
      <w:r w:rsidR="004C25C2">
        <w:rPr>
          <w:snapToGrid w:val="0"/>
          <w:lang w:val="en-GB"/>
        </w:rPr>
        <w:t>developments</w:t>
      </w:r>
      <w:r w:rsidR="004C25C2" w:rsidRPr="00704C07">
        <w:rPr>
          <w:snapToGrid w:val="0"/>
          <w:lang w:val="en-GB"/>
        </w:rPr>
        <w:t xml:space="preserve"> </w:t>
      </w:r>
      <w:r w:rsidR="00C30316" w:rsidRPr="00704C07">
        <w:rPr>
          <w:snapToGrid w:val="0"/>
          <w:lang w:val="en-GB"/>
        </w:rPr>
        <w:t xml:space="preserve">in the pending case, keeping their </w:t>
      </w:r>
      <w:r w:rsidR="00704C07" w:rsidRPr="00704C07">
        <w:rPr>
          <w:snapToGrid w:val="0"/>
          <w:lang w:val="en-GB"/>
        </w:rPr>
        <w:t>members informed. The applicant companies</w:t>
      </w:r>
      <w:r w:rsidR="00C540FC" w:rsidRPr="00704C07">
        <w:rPr>
          <w:snapToGrid w:val="0"/>
          <w:lang w:val="en-GB"/>
        </w:rPr>
        <w:t>,</w:t>
      </w:r>
      <w:r w:rsidR="00C30316" w:rsidRPr="00704C07">
        <w:rPr>
          <w:snapToGrid w:val="0"/>
          <w:lang w:val="en-GB"/>
        </w:rPr>
        <w:t xml:space="preserve"> however</w:t>
      </w:r>
      <w:r w:rsidR="00C540FC" w:rsidRPr="00704C07">
        <w:rPr>
          <w:snapToGrid w:val="0"/>
          <w:lang w:val="en-GB"/>
        </w:rPr>
        <w:t>,</w:t>
      </w:r>
      <w:r w:rsidR="00C30316" w:rsidRPr="00704C07">
        <w:rPr>
          <w:snapToGrid w:val="0"/>
          <w:lang w:val="en-GB"/>
        </w:rPr>
        <w:t xml:space="preserve"> admitted that it was only after the positive </w:t>
      </w:r>
      <w:r w:rsidR="006F13A8" w:rsidRPr="00704C07">
        <w:rPr>
          <w:snapToGrid w:val="0"/>
          <w:lang w:val="en-GB"/>
        </w:rPr>
        <w:t xml:space="preserve">final </w:t>
      </w:r>
      <w:r w:rsidR="00C30316" w:rsidRPr="00704C07">
        <w:rPr>
          <w:snapToGrid w:val="0"/>
          <w:lang w:val="en-GB"/>
        </w:rPr>
        <w:t xml:space="preserve">outcome </w:t>
      </w:r>
      <w:r w:rsidR="004C25C2">
        <w:rPr>
          <w:snapToGrid w:val="0"/>
          <w:lang w:val="en-GB"/>
        </w:rPr>
        <w:t>for</w:t>
      </w:r>
      <w:r w:rsidR="004C25C2" w:rsidRPr="00704C07">
        <w:rPr>
          <w:snapToGrid w:val="0"/>
          <w:lang w:val="en-GB"/>
        </w:rPr>
        <w:t xml:space="preserve"> </w:t>
      </w:r>
      <w:r w:rsidR="00C30316" w:rsidRPr="00704C07">
        <w:rPr>
          <w:snapToGrid w:val="0"/>
          <w:lang w:val="en-GB"/>
        </w:rPr>
        <w:t>Floramiata Spa, decided by the Court of Cassation in 20</w:t>
      </w:r>
      <w:r w:rsidR="006F13A8" w:rsidRPr="00704C07">
        <w:rPr>
          <w:snapToGrid w:val="0"/>
          <w:lang w:val="en-GB"/>
        </w:rPr>
        <w:t xml:space="preserve">00 </w:t>
      </w:r>
      <w:r w:rsidR="008801A1">
        <w:rPr>
          <w:snapToGrid w:val="0"/>
          <w:lang w:val="en-GB"/>
        </w:rPr>
        <w:t>–</w:t>
      </w:r>
      <w:r w:rsidR="00C30316" w:rsidRPr="00704C07">
        <w:rPr>
          <w:snapToGrid w:val="0"/>
          <w:lang w:val="en-GB"/>
        </w:rPr>
        <w:t xml:space="preserve"> the first time such a body had determined </w:t>
      </w:r>
      <w:r w:rsidR="006F13A8" w:rsidRPr="00704C07">
        <w:rPr>
          <w:snapToGrid w:val="0"/>
          <w:lang w:val="en-GB"/>
        </w:rPr>
        <w:t xml:space="preserve">the subject matter at issue </w:t>
      </w:r>
      <w:r w:rsidR="008801A1">
        <w:rPr>
          <w:snapToGrid w:val="0"/>
          <w:lang w:val="en-GB"/>
        </w:rPr>
        <w:t>–</w:t>
      </w:r>
      <w:r w:rsidR="00C30316" w:rsidRPr="00704C07">
        <w:rPr>
          <w:snapToGrid w:val="0"/>
          <w:lang w:val="en-GB"/>
        </w:rPr>
        <w:t xml:space="preserve"> t</w:t>
      </w:r>
      <w:r w:rsidR="006F13A8" w:rsidRPr="00704C07">
        <w:rPr>
          <w:snapToGrid w:val="0"/>
          <w:lang w:val="en-GB"/>
        </w:rPr>
        <w:t>hat the four (</w:t>
      </w:r>
      <w:r w:rsidR="006F13A8" w:rsidRPr="00704C07">
        <w:rPr>
          <w:i/>
          <w:snapToGrid w:val="0"/>
          <w:lang w:val="en-GB"/>
        </w:rPr>
        <w:t>sic</w:t>
      </w:r>
      <w:r w:rsidR="006F13A8" w:rsidRPr="00704C07">
        <w:rPr>
          <w:snapToGrid w:val="0"/>
          <w:lang w:val="en-GB"/>
        </w:rPr>
        <w:t xml:space="preserve">) applicant companies </w:t>
      </w:r>
      <w:r w:rsidR="004C25C2">
        <w:rPr>
          <w:snapToGrid w:val="0"/>
          <w:lang w:val="en-GB"/>
        </w:rPr>
        <w:t xml:space="preserve">had </w:t>
      </w:r>
      <w:r w:rsidR="00C30316" w:rsidRPr="00704C07">
        <w:rPr>
          <w:snapToGrid w:val="0"/>
          <w:lang w:val="en-GB"/>
        </w:rPr>
        <w:t>introduced their own</w:t>
      </w:r>
      <w:r w:rsidR="00184F8E" w:rsidRPr="00704C07">
        <w:rPr>
          <w:snapToGrid w:val="0"/>
          <w:lang w:val="en-GB"/>
        </w:rPr>
        <w:t xml:space="preserve"> administrative and subsequently judicial</w:t>
      </w:r>
      <w:r w:rsidR="00C30316" w:rsidRPr="00704C07">
        <w:rPr>
          <w:snapToGrid w:val="0"/>
          <w:lang w:val="en-GB"/>
        </w:rPr>
        <w:t xml:space="preserve"> claims.</w:t>
      </w:r>
      <w:r w:rsidR="00184F8E" w:rsidRPr="00704C07">
        <w:rPr>
          <w:snapToGrid w:val="0"/>
          <w:lang w:val="en-GB"/>
        </w:rPr>
        <w:t xml:space="preserve"> The applicant</w:t>
      </w:r>
      <w:r w:rsidR="004C25C2">
        <w:rPr>
          <w:snapToGrid w:val="0"/>
          <w:lang w:val="en-GB"/>
        </w:rPr>
        <w:t xml:space="preserve"> companie</w:t>
      </w:r>
      <w:r w:rsidR="00184F8E" w:rsidRPr="00704C07">
        <w:rPr>
          <w:snapToGrid w:val="0"/>
          <w:lang w:val="en-GB"/>
        </w:rPr>
        <w:t xml:space="preserve">s argued that, in respect of the </w:t>
      </w:r>
      <w:r w:rsidR="00C414A0">
        <w:rPr>
          <w:snapToGrid w:val="0"/>
          <w:lang w:val="en-GB"/>
        </w:rPr>
        <w:t>preceding</w:t>
      </w:r>
      <w:r w:rsidR="00184F8E" w:rsidRPr="00704C07">
        <w:rPr>
          <w:snapToGrid w:val="0"/>
          <w:lang w:val="en-GB"/>
        </w:rPr>
        <w:t xml:space="preserve"> years, they had chosen to pay the dues demanded by the INPS (calculated on the basis of the impugned interpretation) to avoid </w:t>
      </w:r>
      <w:r w:rsidR="004C25C2">
        <w:rPr>
          <w:snapToGrid w:val="0"/>
          <w:lang w:val="en-GB"/>
        </w:rPr>
        <w:t xml:space="preserve">the severe </w:t>
      </w:r>
      <w:r w:rsidR="00184F8E" w:rsidRPr="00704C07">
        <w:rPr>
          <w:snapToGrid w:val="0"/>
          <w:lang w:val="en-GB"/>
        </w:rPr>
        <w:t>financial civil sanctions which would have been applied to them automatically, as well as to avoid the risk of criminal proceedings being brought against them for failure to pay the relevant dues</w:t>
      </w:r>
      <w:r w:rsidR="003F4CFA" w:rsidRPr="00704C07">
        <w:rPr>
          <w:snapToGrid w:val="0"/>
          <w:lang w:val="en-GB"/>
        </w:rPr>
        <w:t xml:space="preserve"> and any pursuant implications which could have </w:t>
      </w:r>
      <w:r w:rsidR="004F44C3" w:rsidRPr="00704C07">
        <w:rPr>
          <w:snapToGrid w:val="0"/>
          <w:lang w:val="en-GB"/>
        </w:rPr>
        <w:t>led</w:t>
      </w:r>
      <w:r w:rsidR="003F4CFA" w:rsidRPr="00704C07">
        <w:rPr>
          <w:snapToGrid w:val="0"/>
          <w:lang w:val="en-GB"/>
        </w:rPr>
        <w:t xml:space="preserve"> them </w:t>
      </w:r>
      <w:r w:rsidR="00C414A0">
        <w:rPr>
          <w:snapToGrid w:val="0"/>
          <w:lang w:val="en-GB"/>
        </w:rPr>
        <w:t>in</w:t>
      </w:r>
      <w:r w:rsidR="003F4CFA" w:rsidRPr="00704C07">
        <w:rPr>
          <w:snapToGrid w:val="0"/>
          <w:lang w:val="en-GB"/>
        </w:rPr>
        <w:t>to bankruptcy</w:t>
      </w:r>
      <w:r w:rsidR="00184F8E" w:rsidRPr="00704C07">
        <w:rPr>
          <w:snapToGrid w:val="0"/>
          <w:lang w:val="en-GB"/>
        </w:rPr>
        <w:t>.</w:t>
      </w:r>
    </w:p>
    <w:p w:rsidR="004E24A0" w:rsidRPr="00704C07" w:rsidRDefault="006F13A8" w:rsidP="009B0194">
      <w:pPr>
        <w:pStyle w:val="ECHRPara"/>
        <w:rPr>
          <w:snapToGrid w:val="0"/>
          <w:lang w:val="en-GB"/>
        </w:rPr>
      </w:pPr>
      <w:r w:rsidRPr="00704C07">
        <w:rPr>
          <w:snapToGrid w:val="0"/>
        </w:rPr>
        <w:fldChar w:fldCharType="begin"/>
      </w:r>
      <w:r w:rsidRPr="00704C07">
        <w:rPr>
          <w:snapToGrid w:val="0"/>
          <w:lang w:val="en-GB"/>
        </w:rPr>
        <w:instrText xml:space="preserve"> SEQ level0 \*arabic </w:instrText>
      </w:r>
      <w:r w:rsidRPr="00704C07">
        <w:rPr>
          <w:snapToGrid w:val="0"/>
        </w:rPr>
        <w:fldChar w:fldCharType="separate"/>
      </w:r>
      <w:r w:rsidR="00D471CA">
        <w:rPr>
          <w:noProof/>
          <w:snapToGrid w:val="0"/>
          <w:lang w:val="en-GB"/>
        </w:rPr>
        <w:t>66</w:t>
      </w:r>
      <w:r w:rsidRPr="00704C07">
        <w:rPr>
          <w:snapToGrid w:val="0"/>
        </w:rPr>
        <w:fldChar w:fldCharType="end"/>
      </w:r>
      <w:r w:rsidRPr="00704C07">
        <w:rPr>
          <w:snapToGrid w:val="0"/>
          <w:lang w:val="en-GB"/>
        </w:rPr>
        <w:t xml:space="preserve">.  Nevertheless, </w:t>
      </w:r>
      <w:r w:rsidR="004F44C3" w:rsidRPr="00704C07">
        <w:rPr>
          <w:snapToGrid w:val="0"/>
          <w:lang w:val="en-GB"/>
        </w:rPr>
        <w:t xml:space="preserve">the applicant companies considered that </w:t>
      </w:r>
      <w:r w:rsidRPr="00704C07">
        <w:rPr>
          <w:snapToGrid w:val="0"/>
          <w:lang w:val="en-GB"/>
        </w:rPr>
        <w:t>there were other factors which distinguished the</w:t>
      </w:r>
      <w:r w:rsidR="00293BDE" w:rsidRPr="00704C07">
        <w:rPr>
          <w:snapToGrid w:val="0"/>
          <w:lang w:val="en-GB"/>
        </w:rPr>
        <w:t xml:space="preserve"> instant</w:t>
      </w:r>
      <w:r w:rsidRPr="00704C07">
        <w:rPr>
          <w:snapToGrid w:val="0"/>
          <w:lang w:val="en-GB"/>
        </w:rPr>
        <w:t xml:space="preserve"> </w:t>
      </w:r>
      <w:r w:rsidR="00293BDE" w:rsidRPr="00704C07">
        <w:rPr>
          <w:snapToGrid w:val="0"/>
          <w:lang w:val="en-GB"/>
        </w:rPr>
        <w:t>case from the above-</w:t>
      </w:r>
      <w:r w:rsidRPr="00704C07">
        <w:rPr>
          <w:snapToGrid w:val="0"/>
          <w:lang w:val="en-GB"/>
        </w:rPr>
        <w:t xml:space="preserve">mentioned </w:t>
      </w:r>
      <w:r w:rsidR="00C540FC" w:rsidRPr="00704C07">
        <w:rPr>
          <w:snapToGrid w:val="0"/>
          <w:lang w:val="en-GB"/>
        </w:rPr>
        <w:t>case where</w:t>
      </w:r>
      <w:r w:rsidRPr="00704C07">
        <w:rPr>
          <w:snapToGrid w:val="0"/>
          <w:lang w:val="en-GB"/>
        </w:rPr>
        <w:t xml:space="preserve"> the United Kingdom Government and Parliament had officially and immediately declared their intention to correct the law by a norm of authentic interpretation which would have overcome the “technical defects” present in the original law. </w:t>
      </w:r>
      <w:r w:rsidR="00C540FC" w:rsidRPr="00704C07">
        <w:rPr>
          <w:snapToGrid w:val="0"/>
          <w:lang w:val="en-GB"/>
        </w:rPr>
        <w:t>I</w:t>
      </w:r>
      <w:r w:rsidRPr="00704C07">
        <w:rPr>
          <w:snapToGrid w:val="0"/>
          <w:lang w:val="en-GB"/>
        </w:rPr>
        <w:t xml:space="preserve">n the present case the legislator </w:t>
      </w:r>
      <w:r w:rsidR="006E72FD">
        <w:rPr>
          <w:snapToGrid w:val="0"/>
          <w:lang w:val="en-GB"/>
        </w:rPr>
        <w:t xml:space="preserve">had </w:t>
      </w:r>
      <w:r w:rsidRPr="00704C07">
        <w:rPr>
          <w:snapToGrid w:val="0"/>
          <w:lang w:val="en-GB"/>
        </w:rPr>
        <w:t xml:space="preserve">introduced the </w:t>
      </w:r>
      <w:r w:rsidR="006E72FD">
        <w:rPr>
          <w:snapToGrid w:val="0"/>
          <w:lang w:val="en-GB"/>
        </w:rPr>
        <w:t>“</w:t>
      </w:r>
      <w:r w:rsidRPr="00704C07">
        <w:rPr>
          <w:snapToGrid w:val="0"/>
          <w:lang w:val="en-GB"/>
        </w:rPr>
        <w:t>interpretative</w:t>
      </w:r>
      <w:r w:rsidR="006E72FD">
        <w:rPr>
          <w:snapToGrid w:val="0"/>
          <w:lang w:val="en-GB"/>
        </w:rPr>
        <w:t>”</w:t>
      </w:r>
      <w:r w:rsidRPr="00704C07">
        <w:rPr>
          <w:snapToGrid w:val="0"/>
          <w:lang w:val="en-GB"/>
        </w:rPr>
        <w:t xml:space="preserve"> law fifteen years after the enactment of the original law</w:t>
      </w:r>
      <w:r w:rsidR="00983275">
        <w:rPr>
          <w:snapToGrid w:val="0"/>
          <w:lang w:val="en-GB"/>
        </w:rPr>
        <w:t>,</w:t>
      </w:r>
      <w:r w:rsidRPr="00704C07">
        <w:rPr>
          <w:snapToGrid w:val="0"/>
          <w:lang w:val="en-GB"/>
        </w:rPr>
        <w:t xml:space="preserve"> </w:t>
      </w:r>
      <w:r w:rsidR="003F4CFA" w:rsidRPr="00704C07">
        <w:rPr>
          <w:snapToGrid w:val="0"/>
          <w:lang w:val="en-GB"/>
        </w:rPr>
        <w:t>d</w:t>
      </w:r>
      <w:r w:rsidR="00C540FC" w:rsidRPr="00704C07">
        <w:rPr>
          <w:snapToGrid w:val="0"/>
          <w:lang w:val="en-GB"/>
        </w:rPr>
        <w:t xml:space="preserve">uring which </w:t>
      </w:r>
      <w:r w:rsidR="00983275">
        <w:rPr>
          <w:snapToGrid w:val="0"/>
          <w:lang w:val="en-GB"/>
        </w:rPr>
        <w:t xml:space="preserve">time </w:t>
      </w:r>
      <w:r w:rsidR="00C540FC" w:rsidRPr="00704C07">
        <w:rPr>
          <w:snapToGrid w:val="0"/>
          <w:lang w:val="en-GB"/>
        </w:rPr>
        <w:t xml:space="preserve">the </w:t>
      </w:r>
      <w:r w:rsidR="00C414A0">
        <w:rPr>
          <w:snapToGrid w:val="0"/>
          <w:lang w:val="en-GB"/>
        </w:rPr>
        <w:t>P</w:t>
      </w:r>
      <w:r w:rsidR="00C540FC" w:rsidRPr="00704C07">
        <w:rPr>
          <w:snapToGrid w:val="0"/>
          <w:lang w:val="en-GB"/>
        </w:rPr>
        <w:t>arliament</w:t>
      </w:r>
      <w:r w:rsidR="003F4CFA" w:rsidRPr="00704C07">
        <w:rPr>
          <w:snapToGrid w:val="0"/>
          <w:lang w:val="en-GB"/>
        </w:rPr>
        <w:t xml:space="preserve"> had never raised any questions or </w:t>
      </w:r>
      <w:r w:rsidR="00C414A0">
        <w:rPr>
          <w:snapToGrid w:val="0"/>
          <w:lang w:val="en-GB"/>
        </w:rPr>
        <w:t>doubt</w:t>
      </w:r>
      <w:r w:rsidR="003F4CFA" w:rsidRPr="00704C07">
        <w:rPr>
          <w:snapToGrid w:val="0"/>
          <w:lang w:val="en-GB"/>
        </w:rPr>
        <w:t xml:space="preserve">s about the law. Moreover, the law </w:t>
      </w:r>
      <w:r w:rsidR="00C414A0">
        <w:rPr>
          <w:snapToGrid w:val="0"/>
          <w:lang w:val="en-GB"/>
        </w:rPr>
        <w:t>had been</w:t>
      </w:r>
      <w:r w:rsidR="003F4CFA" w:rsidRPr="00704C07">
        <w:rPr>
          <w:snapToGrid w:val="0"/>
          <w:lang w:val="en-GB"/>
        </w:rPr>
        <w:t xml:space="preserve"> introduced </w:t>
      </w:r>
      <w:r w:rsidRPr="00704C07">
        <w:rPr>
          <w:snapToGrid w:val="0"/>
          <w:lang w:val="en-GB"/>
        </w:rPr>
        <w:t xml:space="preserve">after at least </w:t>
      </w:r>
      <w:r w:rsidR="00293BDE" w:rsidRPr="00704C07">
        <w:rPr>
          <w:snapToGrid w:val="0"/>
          <w:lang w:val="en-GB"/>
        </w:rPr>
        <w:t xml:space="preserve">(referring only to cases brought by the lawyers in the present case) </w:t>
      </w:r>
      <w:r w:rsidRPr="00704C07">
        <w:rPr>
          <w:snapToGrid w:val="0"/>
          <w:lang w:val="en-GB"/>
        </w:rPr>
        <w:t>140 judgments</w:t>
      </w:r>
      <w:r w:rsidR="00704C07" w:rsidRPr="00704C07">
        <w:rPr>
          <w:snapToGrid w:val="0"/>
          <w:lang w:val="en-GB"/>
        </w:rPr>
        <w:t xml:space="preserve"> (</w:t>
      </w:r>
      <w:r w:rsidR="00CA46F6">
        <w:rPr>
          <w:snapToGrid w:val="0"/>
          <w:lang w:val="en-GB"/>
        </w:rPr>
        <w:t>forty-three</w:t>
      </w:r>
      <w:r w:rsidR="00CA46F6" w:rsidRPr="00704C07">
        <w:rPr>
          <w:snapToGrid w:val="0"/>
          <w:lang w:val="en-GB"/>
        </w:rPr>
        <w:t xml:space="preserve"> </w:t>
      </w:r>
      <w:r w:rsidR="00293BDE" w:rsidRPr="00704C07">
        <w:rPr>
          <w:snapToGrid w:val="0"/>
          <w:lang w:val="en-GB"/>
        </w:rPr>
        <w:t>of which had become final</w:t>
      </w:r>
      <w:r w:rsidR="00704C07" w:rsidRPr="00704C07">
        <w:rPr>
          <w:snapToGrid w:val="0"/>
          <w:lang w:val="en-GB"/>
        </w:rPr>
        <w:t xml:space="preserve">, </w:t>
      </w:r>
      <w:r w:rsidR="009C2974" w:rsidRPr="00704C07">
        <w:rPr>
          <w:snapToGrid w:val="0"/>
          <w:lang w:val="en-GB"/>
        </w:rPr>
        <w:t>the INPS having failed to appeal)</w:t>
      </w:r>
      <w:r w:rsidR="00293BDE" w:rsidRPr="00704C07">
        <w:rPr>
          <w:snapToGrid w:val="0"/>
          <w:lang w:val="en-GB"/>
        </w:rPr>
        <w:t xml:space="preserve"> </w:t>
      </w:r>
      <w:r w:rsidRPr="00704C07">
        <w:rPr>
          <w:snapToGrid w:val="0"/>
          <w:lang w:val="en-GB"/>
        </w:rPr>
        <w:t>fin</w:t>
      </w:r>
      <w:r w:rsidR="00293BDE" w:rsidRPr="00704C07">
        <w:rPr>
          <w:snapToGrid w:val="0"/>
          <w:lang w:val="en-GB"/>
        </w:rPr>
        <w:t xml:space="preserve">ding against the public entity, including </w:t>
      </w:r>
      <w:r w:rsidR="00983275">
        <w:rPr>
          <w:snapToGrid w:val="0"/>
          <w:lang w:val="en-GB"/>
        </w:rPr>
        <w:t>two</w:t>
      </w:r>
      <w:r w:rsidR="00983275" w:rsidRPr="00704C07">
        <w:rPr>
          <w:snapToGrid w:val="0"/>
          <w:lang w:val="en-GB"/>
        </w:rPr>
        <w:t xml:space="preserve"> </w:t>
      </w:r>
      <w:r w:rsidR="00293BDE" w:rsidRPr="00704C07">
        <w:rPr>
          <w:snapToGrid w:val="0"/>
          <w:lang w:val="en-GB"/>
        </w:rPr>
        <w:t>Court of Cassat</w:t>
      </w:r>
      <w:r w:rsidR="00704C07" w:rsidRPr="00704C07">
        <w:rPr>
          <w:snapToGrid w:val="0"/>
          <w:lang w:val="en-GB"/>
        </w:rPr>
        <w:t>ion judgments (see paragraphs 53 and 54</w:t>
      </w:r>
      <w:r w:rsidR="00293BDE" w:rsidRPr="00704C07">
        <w:rPr>
          <w:snapToGrid w:val="0"/>
          <w:lang w:val="en-GB"/>
        </w:rPr>
        <w:t xml:space="preserve"> above)</w:t>
      </w:r>
      <w:r w:rsidR="003F4CFA" w:rsidRPr="00704C07">
        <w:rPr>
          <w:snapToGrid w:val="0"/>
          <w:lang w:val="en-GB"/>
        </w:rPr>
        <w:t>, none of which</w:t>
      </w:r>
      <w:r w:rsidR="004E24A0" w:rsidRPr="00704C07">
        <w:rPr>
          <w:snapToGrid w:val="0"/>
          <w:lang w:val="en-GB"/>
        </w:rPr>
        <w:t xml:space="preserve"> </w:t>
      </w:r>
      <w:r w:rsidR="003F4CFA" w:rsidRPr="00704C07">
        <w:rPr>
          <w:snapToGrid w:val="0"/>
          <w:lang w:val="en-GB"/>
        </w:rPr>
        <w:t xml:space="preserve">had identified any </w:t>
      </w:r>
      <w:r w:rsidR="00F67D59" w:rsidRPr="00704C07">
        <w:rPr>
          <w:snapToGrid w:val="0"/>
          <w:lang w:val="en-GB"/>
        </w:rPr>
        <w:t xml:space="preserve">“technical </w:t>
      </w:r>
      <w:r w:rsidR="003F4CFA" w:rsidRPr="00704C07">
        <w:rPr>
          <w:snapToGrid w:val="0"/>
          <w:lang w:val="en-GB"/>
        </w:rPr>
        <w:t>defects</w:t>
      </w:r>
      <w:r w:rsidR="00F67D59" w:rsidRPr="00704C07">
        <w:rPr>
          <w:snapToGrid w:val="0"/>
          <w:lang w:val="en-GB"/>
        </w:rPr>
        <w:t>” in the formulation of the original law and none of which had referred to the even remote possibility of giving the self-evident law another interpretation</w:t>
      </w:r>
      <w:r w:rsidR="00293BDE" w:rsidRPr="00704C07">
        <w:rPr>
          <w:snapToGrid w:val="0"/>
          <w:lang w:val="en-GB"/>
        </w:rPr>
        <w:t xml:space="preserve">. More importantly, </w:t>
      </w:r>
      <w:r w:rsidR="0076505C">
        <w:rPr>
          <w:snapToGrid w:val="0"/>
          <w:lang w:val="en-GB"/>
        </w:rPr>
        <w:t>the</w:t>
      </w:r>
      <w:r w:rsidR="00293BDE" w:rsidRPr="00704C07">
        <w:rPr>
          <w:snapToGrid w:val="0"/>
          <w:lang w:val="en-GB"/>
        </w:rPr>
        <w:t xml:space="preserve"> intention</w:t>
      </w:r>
      <w:r w:rsidR="0076505C">
        <w:rPr>
          <w:snapToGrid w:val="0"/>
          <w:lang w:val="en-GB"/>
        </w:rPr>
        <w:t xml:space="preserve"> to do so</w:t>
      </w:r>
      <w:r w:rsidR="00293BDE" w:rsidRPr="00704C07">
        <w:rPr>
          <w:snapToGrid w:val="0"/>
          <w:lang w:val="en-GB"/>
        </w:rPr>
        <w:t xml:space="preserve"> had </w:t>
      </w:r>
      <w:r w:rsidR="0076505C">
        <w:rPr>
          <w:snapToGrid w:val="0"/>
          <w:lang w:val="en-GB"/>
        </w:rPr>
        <w:t>become apparent</w:t>
      </w:r>
      <w:r w:rsidR="00293BDE" w:rsidRPr="00704C07">
        <w:rPr>
          <w:snapToGrid w:val="0"/>
          <w:lang w:val="en-GB"/>
        </w:rPr>
        <w:t xml:space="preserve"> after the applicant companies had already obtained two judgments in their favour, at first-instance and on appeal.</w:t>
      </w:r>
      <w:r w:rsidR="0076505C">
        <w:rPr>
          <w:snapToGrid w:val="0"/>
          <w:lang w:val="en-GB"/>
        </w:rPr>
        <w:t xml:space="preserve"> </w:t>
      </w:r>
      <w:r w:rsidR="00F67D59" w:rsidRPr="00704C07">
        <w:rPr>
          <w:snapToGrid w:val="0"/>
          <w:lang w:val="en-GB"/>
        </w:rPr>
        <w:t>Furthermore,</w:t>
      </w:r>
      <w:r w:rsidR="003F4CFA" w:rsidRPr="00704C07">
        <w:rPr>
          <w:snapToGrid w:val="0"/>
          <w:lang w:val="en-GB"/>
        </w:rPr>
        <w:t xml:space="preserve"> one could not ignore the difference between the attitude and manifest will of the United Kingdom Government and Parliament over the years</w:t>
      </w:r>
      <w:r w:rsidR="00C540FC" w:rsidRPr="00704C07">
        <w:rPr>
          <w:snapToGrid w:val="0"/>
          <w:lang w:val="en-GB"/>
        </w:rPr>
        <w:t xml:space="preserve"> and that</w:t>
      </w:r>
      <w:r w:rsidR="00CA46F6">
        <w:rPr>
          <w:snapToGrid w:val="0"/>
          <w:lang w:val="en-GB"/>
        </w:rPr>
        <w:t xml:space="preserve"> of the Government</w:t>
      </w:r>
      <w:r w:rsidR="00C540FC" w:rsidRPr="00704C07">
        <w:rPr>
          <w:snapToGrid w:val="0"/>
          <w:lang w:val="en-GB"/>
        </w:rPr>
        <w:t xml:space="preserve"> in</w:t>
      </w:r>
      <w:r w:rsidR="004F44C3" w:rsidRPr="00704C07">
        <w:rPr>
          <w:snapToGrid w:val="0"/>
          <w:lang w:val="en-GB"/>
        </w:rPr>
        <w:t xml:space="preserve"> the</w:t>
      </w:r>
      <w:r w:rsidR="00C540FC" w:rsidRPr="00704C07">
        <w:rPr>
          <w:snapToGrid w:val="0"/>
          <w:lang w:val="en-GB"/>
        </w:rPr>
        <w:t xml:space="preserve"> present case</w:t>
      </w:r>
      <w:r w:rsidR="00F67D59" w:rsidRPr="00704C07">
        <w:rPr>
          <w:snapToGrid w:val="0"/>
          <w:lang w:val="en-GB"/>
        </w:rPr>
        <w:t>.</w:t>
      </w:r>
      <w:r w:rsidR="000B3427" w:rsidRPr="00704C07">
        <w:rPr>
          <w:snapToGrid w:val="0"/>
          <w:lang w:val="en-GB"/>
        </w:rPr>
        <w:t xml:space="preserve"> One also had to note the relation</w:t>
      </w:r>
      <w:r w:rsidR="00EE3129">
        <w:rPr>
          <w:snapToGrid w:val="0"/>
          <w:lang w:val="en-GB"/>
        </w:rPr>
        <w:t>ship</w:t>
      </w:r>
      <w:r w:rsidR="000B3427" w:rsidRPr="00704C07">
        <w:rPr>
          <w:snapToGrid w:val="0"/>
          <w:lang w:val="en-GB"/>
        </w:rPr>
        <w:t xml:space="preserve"> between the Government and </w:t>
      </w:r>
      <w:r w:rsidR="00EE3129">
        <w:rPr>
          <w:snapToGrid w:val="0"/>
          <w:lang w:val="en-GB"/>
        </w:rPr>
        <w:t xml:space="preserve">the </w:t>
      </w:r>
      <w:r w:rsidR="000B3427" w:rsidRPr="00704C07">
        <w:rPr>
          <w:snapToGrid w:val="0"/>
          <w:lang w:val="en-GB"/>
        </w:rPr>
        <w:t>INPS</w:t>
      </w:r>
      <w:r w:rsidR="004E24A0" w:rsidRPr="00704C07">
        <w:rPr>
          <w:snapToGrid w:val="0"/>
          <w:lang w:val="en-GB"/>
        </w:rPr>
        <w:t>, an</w:t>
      </w:r>
      <w:r w:rsidR="000B3427" w:rsidRPr="00704C07">
        <w:rPr>
          <w:snapToGrid w:val="0"/>
          <w:lang w:val="en-GB"/>
        </w:rPr>
        <w:t xml:space="preserve"> integral part of the State</w:t>
      </w:r>
      <w:r w:rsidR="00864D90">
        <w:rPr>
          <w:snapToGrid w:val="0"/>
          <w:lang w:val="en-GB"/>
        </w:rPr>
        <w:t>’</w:t>
      </w:r>
      <w:r w:rsidR="000B3427" w:rsidRPr="00704C07">
        <w:rPr>
          <w:snapToGrid w:val="0"/>
          <w:lang w:val="en-GB"/>
        </w:rPr>
        <w:t>s administration</w:t>
      </w:r>
      <w:r w:rsidR="00C540FC" w:rsidRPr="00704C07">
        <w:rPr>
          <w:snapToGrid w:val="0"/>
          <w:lang w:val="en-GB"/>
        </w:rPr>
        <w:t>. T</w:t>
      </w:r>
      <w:r w:rsidR="000B3427" w:rsidRPr="00704C07">
        <w:rPr>
          <w:snapToGrid w:val="0"/>
          <w:lang w:val="en-GB"/>
        </w:rPr>
        <w:t>hus, it was reasonable to consider (even on the basis of the</w:t>
      </w:r>
      <w:r w:rsidR="000B3427" w:rsidRPr="00704C07">
        <w:rPr>
          <w:i/>
          <w:szCs w:val="24"/>
          <w:lang w:val="en-GB"/>
        </w:rPr>
        <w:t xml:space="preserve"> travaux pr</w:t>
      </w:r>
      <w:r w:rsidR="000B3427" w:rsidRPr="00704C07">
        <w:rPr>
          <w:i/>
          <w:lang w:val="en-GB"/>
        </w:rPr>
        <w:t>é</w:t>
      </w:r>
      <w:r w:rsidR="000B3427" w:rsidRPr="00704C07">
        <w:rPr>
          <w:i/>
          <w:szCs w:val="24"/>
          <w:lang w:val="en-GB"/>
        </w:rPr>
        <w:t>paratoires</w:t>
      </w:r>
      <w:r w:rsidR="000B3427" w:rsidRPr="00704C07">
        <w:rPr>
          <w:szCs w:val="24"/>
          <w:lang w:val="en-GB"/>
        </w:rPr>
        <w:t xml:space="preserve"> and other statements made in certain domestic judgments)</w:t>
      </w:r>
      <w:r w:rsidR="000B3427" w:rsidRPr="00704C07">
        <w:rPr>
          <w:snapToGrid w:val="0"/>
          <w:lang w:val="en-GB"/>
        </w:rPr>
        <w:t xml:space="preserve"> that the INPS, having </w:t>
      </w:r>
      <w:r w:rsidR="00EE3129">
        <w:rPr>
          <w:snapToGrid w:val="0"/>
          <w:lang w:val="en-GB"/>
        </w:rPr>
        <w:t xml:space="preserve">been </w:t>
      </w:r>
      <w:r w:rsidR="00EE3129" w:rsidRPr="00704C07">
        <w:rPr>
          <w:snapToGrid w:val="0"/>
          <w:lang w:val="en-GB"/>
        </w:rPr>
        <w:t xml:space="preserve">unsuccessful </w:t>
      </w:r>
      <w:r w:rsidR="00EE3129">
        <w:rPr>
          <w:snapToGrid w:val="0"/>
          <w:lang w:val="en-GB"/>
        </w:rPr>
        <w:t>in</w:t>
      </w:r>
      <w:r w:rsidR="000B3427" w:rsidRPr="00704C07">
        <w:rPr>
          <w:snapToGrid w:val="0"/>
          <w:lang w:val="en-GB"/>
        </w:rPr>
        <w:t xml:space="preserve"> hundreds of proceedings, had itself solicited the executive to act in order to </w:t>
      </w:r>
      <w:r w:rsidR="00C414A0">
        <w:rPr>
          <w:snapToGrid w:val="0"/>
          <w:lang w:val="en-GB"/>
        </w:rPr>
        <w:t>nullify</w:t>
      </w:r>
      <w:r w:rsidR="000B3427" w:rsidRPr="00704C07">
        <w:rPr>
          <w:snapToGrid w:val="0"/>
          <w:lang w:val="en-GB"/>
        </w:rPr>
        <w:t xml:space="preserve"> the pronouncements against it, rendering devoid of any meaning the distinction between executive and judiciary,</w:t>
      </w:r>
      <w:r w:rsidR="00F14EA5" w:rsidRPr="00704C07">
        <w:rPr>
          <w:snapToGrid w:val="0"/>
          <w:lang w:val="en-GB"/>
        </w:rPr>
        <w:t xml:space="preserve"> </w:t>
      </w:r>
      <w:r w:rsidR="004F44C3" w:rsidRPr="00704C07">
        <w:rPr>
          <w:snapToGrid w:val="0"/>
          <w:lang w:val="en-GB"/>
        </w:rPr>
        <w:t xml:space="preserve">but </w:t>
      </w:r>
      <w:r w:rsidR="0009297E" w:rsidRPr="00704C07">
        <w:rPr>
          <w:snapToGrid w:val="0"/>
          <w:lang w:val="en-GB"/>
        </w:rPr>
        <w:t xml:space="preserve">enabling the improvement of </w:t>
      </w:r>
      <w:r w:rsidR="00EE3129">
        <w:rPr>
          <w:snapToGrid w:val="0"/>
          <w:lang w:val="en-GB"/>
        </w:rPr>
        <w:t>its</w:t>
      </w:r>
      <w:r w:rsidR="0009297E" w:rsidRPr="00704C07">
        <w:rPr>
          <w:snapToGrid w:val="0"/>
          <w:lang w:val="en-GB"/>
        </w:rPr>
        <w:t xml:space="preserve"> </w:t>
      </w:r>
      <w:r w:rsidR="00C414A0">
        <w:rPr>
          <w:snapToGrid w:val="0"/>
          <w:lang w:val="en-GB"/>
        </w:rPr>
        <w:t>financial</w:t>
      </w:r>
      <w:r w:rsidR="0009297E" w:rsidRPr="00704C07">
        <w:rPr>
          <w:snapToGrid w:val="0"/>
          <w:lang w:val="en-GB"/>
        </w:rPr>
        <w:t xml:space="preserve"> situation</w:t>
      </w:r>
      <w:r w:rsidR="004E24A0" w:rsidRPr="00704C07">
        <w:rPr>
          <w:snapToGrid w:val="0"/>
          <w:lang w:val="en-GB"/>
        </w:rPr>
        <w:t>.</w:t>
      </w:r>
      <w:r w:rsidR="0076505C">
        <w:rPr>
          <w:snapToGrid w:val="0"/>
          <w:lang w:val="en-GB"/>
        </w:rPr>
        <w:t xml:space="preserve"> </w:t>
      </w:r>
      <w:r w:rsidR="004E24A0" w:rsidRPr="00704C07">
        <w:rPr>
          <w:snapToGrid w:val="0"/>
          <w:lang w:val="en-GB"/>
        </w:rPr>
        <w:t xml:space="preserve">Lastly, the </w:t>
      </w:r>
      <w:r w:rsidR="00C540FC" w:rsidRPr="00704C07">
        <w:rPr>
          <w:lang w:val="en-GB"/>
        </w:rPr>
        <w:t xml:space="preserve">Attorney </w:t>
      </w:r>
      <w:r w:rsidR="004F44C3" w:rsidRPr="00704C07">
        <w:rPr>
          <w:lang w:val="en-GB"/>
        </w:rPr>
        <w:t>General</w:t>
      </w:r>
      <w:r w:rsidR="00864D90">
        <w:rPr>
          <w:lang w:val="en-GB"/>
        </w:rPr>
        <w:t>’</w:t>
      </w:r>
      <w:r w:rsidR="004F44C3" w:rsidRPr="00704C07">
        <w:rPr>
          <w:lang w:val="en-GB"/>
        </w:rPr>
        <w:t>s attitude towards the applicant companies</w:t>
      </w:r>
      <w:r w:rsidR="00864D90">
        <w:rPr>
          <w:lang w:val="en-GB"/>
        </w:rPr>
        <w:t>’</w:t>
      </w:r>
      <w:r w:rsidR="00460D48">
        <w:rPr>
          <w:lang w:val="en-GB"/>
        </w:rPr>
        <w:t xml:space="preserve"> case (see paragraph 68</w:t>
      </w:r>
      <w:r w:rsidR="00704C07">
        <w:rPr>
          <w:lang w:val="en-GB"/>
        </w:rPr>
        <w:t xml:space="preserve"> below</w:t>
      </w:r>
      <w:r w:rsidR="00C540FC" w:rsidRPr="00704C07">
        <w:rPr>
          <w:lang w:val="en-GB"/>
        </w:rPr>
        <w:t>) also distinguished it from</w:t>
      </w:r>
      <w:r w:rsidR="00A35F35">
        <w:rPr>
          <w:lang w:val="en-GB"/>
        </w:rPr>
        <w:t xml:space="preserve"> </w:t>
      </w:r>
      <w:r w:rsidR="00A35F35" w:rsidRPr="00704C07">
        <w:rPr>
          <w:i/>
          <w:iCs/>
          <w:lang w:val="en-GB"/>
        </w:rPr>
        <w:t xml:space="preserve">National &amp; </w:t>
      </w:r>
      <w:r w:rsidR="00A35F35" w:rsidRPr="00704C07">
        <w:rPr>
          <w:bCs/>
          <w:i/>
          <w:iCs/>
          <w:lang w:val="en-GB"/>
        </w:rPr>
        <w:t>Provincial</w:t>
      </w:r>
      <w:r w:rsidR="00A35F35" w:rsidRPr="00704C07">
        <w:rPr>
          <w:i/>
          <w:iCs/>
          <w:lang w:val="en-GB"/>
        </w:rPr>
        <w:t xml:space="preserve"> </w:t>
      </w:r>
      <w:r w:rsidR="00A35F35" w:rsidRPr="00704C07">
        <w:rPr>
          <w:bCs/>
          <w:i/>
          <w:iCs/>
          <w:lang w:val="en-GB"/>
        </w:rPr>
        <w:t>Building</w:t>
      </w:r>
      <w:r w:rsidR="00A35F35" w:rsidRPr="00704C07">
        <w:rPr>
          <w:i/>
          <w:iCs/>
          <w:lang w:val="en-GB"/>
        </w:rPr>
        <w:t xml:space="preserve"> </w:t>
      </w:r>
      <w:r w:rsidR="00A35F35" w:rsidRPr="00704C07">
        <w:rPr>
          <w:bCs/>
          <w:i/>
          <w:iCs/>
          <w:lang w:val="en-GB"/>
        </w:rPr>
        <w:t>Society</w:t>
      </w:r>
      <w:r w:rsidR="0076505C">
        <w:rPr>
          <w:i/>
          <w:iCs/>
          <w:lang w:val="en-GB"/>
        </w:rPr>
        <w:t xml:space="preserve"> </w:t>
      </w:r>
      <w:r w:rsidR="00A35F35" w:rsidRPr="00704C07">
        <w:rPr>
          <w:lang w:val="en-GB"/>
        </w:rPr>
        <w:t>(cited above)</w:t>
      </w:r>
      <w:r w:rsidR="00C540FC" w:rsidRPr="00704C07">
        <w:rPr>
          <w:lang w:val="en-GB"/>
        </w:rPr>
        <w:t>.</w:t>
      </w:r>
    </w:p>
    <w:p w:rsidR="00632A2E" w:rsidRDefault="004E24A0" w:rsidP="009B0194">
      <w:pPr>
        <w:pStyle w:val="ECHRPara"/>
        <w:rPr>
          <w:lang w:val="en-GB"/>
        </w:rPr>
      </w:pPr>
      <w:r w:rsidRPr="00704C07">
        <w:rPr>
          <w:snapToGrid w:val="0"/>
          <w:lang w:val="en-GB"/>
        </w:rPr>
        <w:fldChar w:fldCharType="begin"/>
      </w:r>
      <w:r w:rsidRPr="00704C07">
        <w:rPr>
          <w:snapToGrid w:val="0"/>
          <w:lang w:val="en-GB"/>
        </w:rPr>
        <w:instrText xml:space="preserve"> SEQ level0 \*arabic </w:instrText>
      </w:r>
      <w:r w:rsidRPr="00704C07">
        <w:rPr>
          <w:snapToGrid w:val="0"/>
          <w:lang w:val="en-GB"/>
        </w:rPr>
        <w:fldChar w:fldCharType="separate"/>
      </w:r>
      <w:r w:rsidR="00D471CA">
        <w:rPr>
          <w:noProof/>
          <w:snapToGrid w:val="0"/>
          <w:lang w:val="en-GB"/>
        </w:rPr>
        <w:t>67</w:t>
      </w:r>
      <w:r w:rsidRPr="00704C07">
        <w:rPr>
          <w:snapToGrid w:val="0"/>
          <w:lang w:val="en-GB"/>
        </w:rPr>
        <w:fldChar w:fldCharType="end"/>
      </w:r>
      <w:r w:rsidRPr="00704C07">
        <w:rPr>
          <w:snapToGrid w:val="0"/>
          <w:lang w:val="en-GB"/>
        </w:rPr>
        <w:t xml:space="preserve">.  It followed that the same findings made by the Court in the </w:t>
      </w:r>
      <w:r w:rsidR="00A35F35" w:rsidRPr="00D51ABD">
        <w:rPr>
          <w:iCs/>
          <w:lang w:val="en-GB"/>
        </w:rPr>
        <w:t xml:space="preserve">above-mentioned case </w:t>
      </w:r>
      <w:r w:rsidRPr="00704C07">
        <w:rPr>
          <w:lang w:val="en-GB"/>
        </w:rPr>
        <w:t>could not be made in the present case. It was rather the Government that had been opportunistic, hiding behind the excuse of the original intention of Parliament, despite judgments and materials indicating the contrary.</w:t>
      </w:r>
    </w:p>
    <w:p w:rsidR="00DB583D" w:rsidRDefault="00920231" w:rsidP="009B0194">
      <w:pPr>
        <w:pStyle w:val="ECHRPara"/>
        <w:rPr>
          <w:lang w:val="en-GB"/>
        </w:rPr>
      </w:pPr>
      <w:r>
        <w:rPr>
          <w:szCs w:val="24"/>
          <w:lang w:val="en-GB"/>
        </w:rPr>
        <w:fldChar w:fldCharType="begin"/>
      </w:r>
      <w:r>
        <w:rPr>
          <w:szCs w:val="24"/>
          <w:lang w:val="en-GB"/>
        </w:rPr>
        <w:instrText xml:space="preserve"> SEQ level0 \*arabic </w:instrText>
      </w:r>
      <w:r>
        <w:rPr>
          <w:szCs w:val="24"/>
          <w:lang w:val="en-GB"/>
        </w:rPr>
        <w:fldChar w:fldCharType="separate"/>
      </w:r>
      <w:r w:rsidR="00D471CA">
        <w:rPr>
          <w:noProof/>
          <w:szCs w:val="24"/>
          <w:lang w:val="en-GB"/>
        </w:rPr>
        <w:t>68</w:t>
      </w:r>
      <w:r>
        <w:rPr>
          <w:szCs w:val="24"/>
          <w:lang w:val="en-GB"/>
        </w:rPr>
        <w:fldChar w:fldCharType="end"/>
      </w:r>
      <w:r>
        <w:rPr>
          <w:szCs w:val="24"/>
          <w:lang w:val="en-GB"/>
        </w:rPr>
        <w:t>.  </w:t>
      </w:r>
      <w:r w:rsidR="00EA2AA9">
        <w:rPr>
          <w:szCs w:val="24"/>
          <w:lang w:val="en-GB"/>
        </w:rPr>
        <w:t xml:space="preserve">The applicant companies further submitted that in its judgment </w:t>
      </w:r>
      <w:r w:rsidR="009B0194">
        <w:rPr>
          <w:lang w:val="en-GB"/>
        </w:rPr>
        <w:t>no. </w:t>
      </w:r>
      <w:r w:rsidR="00EA2AA9" w:rsidRPr="00E72ABD">
        <w:rPr>
          <w:lang w:val="en-GB"/>
        </w:rPr>
        <w:t>274 of 7 July 2006</w:t>
      </w:r>
      <w:r w:rsidR="00EA2AA9">
        <w:rPr>
          <w:lang w:val="en-GB"/>
        </w:rPr>
        <w:t xml:space="preserve"> </w:t>
      </w:r>
      <w:r w:rsidR="001A5E09">
        <w:rPr>
          <w:szCs w:val="24"/>
          <w:lang w:val="en-GB"/>
        </w:rPr>
        <w:t>the Constitutional Court</w:t>
      </w:r>
      <w:r w:rsidR="001A5E09">
        <w:rPr>
          <w:lang w:val="en-GB"/>
        </w:rPr>
        <w:t xml:space="preserve"> </w:t>
      </w:r>
      <w:r w:rsidR="00EA2AA9">
        <w:rPr>
          <w:lang w:val="en-GB"/>
        </w:rPr>
        <w:t xml:space="preserve">had not examined </w:t>
      </w:r>
      <w:r w:rsidR="001A5E09">
        <w:rPr>
          <w:lang w:val="en-GB"/>
        </w:rPr>
        <w:t xml:space="preserve">the </w:t>
      </w:r>
      <w:r w:rsidR="00EA2AA9">
        <w:rPr>
          <w:lang w:val="en-GB"/>
        </w:rPr>
        <w:t>constitutional legitimacy</w:t>
      </w:r>
      <w:r w:rsidR="001A5E09">
        <w:rPr>
          <w:lang w:val="en-GB"/>
        </w:rPr>
        <w:t xml:space="preserve"> of the law</w:t>
      </w:r>
      <w:r w:rsidR="00EA2AA9">
        <w:rPr>
          <w:lang w:val="en-GB"/>
        </w:rPr>
        <w:t xml:space="preserve"> on the basis of Article 6 of the Convention, namely the principle of a fair trial as also </w:t>
      </w:r>
      <w:r w:rsidR="001A5E09">
        <w:rPr>
          <w:lang w:val="en-GB"/>
        </w:rPr>
        <w:t xml:space="preserve">laid down </w:t>
      </w:r>
      <w:r w:rsidR="00EA2AA9">
        <w:rPr>
          <w:lang w:val="en-GB"/>
        </w:rPr>
        <w:t>in the Italian Constitution</w:t>
      </w:r>
      <w:r w:rsidR="001A5E09">
        <w:rPr>
          <w:lang w:val="en-GB"/>
        </w:rPr>
        <w:t>,</w:t>
      </w:r>
      <w:r w:rsidR="00EA2AA9">
        <w:rPr>
          <w:lang w:val="en-GB"/>
        </w:rPr>
        <w:t xml:space="preserve"> and therefore it had not </w:t>
      </w:r>
      <w:r w:rsidR="001A5E09">
        <w:rPr>
          <w:lang w:val="en-GB"/>
        </w:rPr>
        <w:t xml:space="preserve">examined </w:t>
      </w:r>
      <w:r w:rsidR="00EA2AA9">
        <w:rPr>
          <w:lang w:val="en-GB"/>
        </w:rPr>
        <w:t>the constitutional legitimacy of the law in the light of the applicants</w:t>
      </w:r>
      <w:r w:rsidR="00864D90">
        <w:rPr>
          <w:lang w:val="en-GB"/>
        </w:rPr>
        <w:t>’</w:t>
      </w:r>
      <w:r w:rsidR="00EA2AA9">
        <w:rPr>
          <w:lang w:val="en-GB"/>
        </w:rPr>
        <w:t xml:space="preserve"> arguments – the said analyses having become customary only after the 2009 judgment in</w:t>
      </w:r>
      <w:r w:rsidR="008833BE">
        <w:rPr>
          <w:i/>
          <w:lang w:val="en-GB"/>
        </w:rPr>
        <w:t xml:space="preserve"> </w:t>
      </w:r>
      <w:r w:rsidR="008833BE" w:rsidRPr="008833BE">
        <w:rPr>
          <w:i/>
          <w:lang w:val="en-GB"/>
        </w:rPr>
        <w:t>Scoppola v. Italy</w:t>
      </w:r>
      <w:r w:rsidR="008833BE" w:rsidRPr="008833BE">
        <w:rPr>
          <w:lang w:val="en-GB"/>
        </w:rPr>
        <w:t xml:space="preserve"> </w:t>
      </w:r>
      <w:r w:rsidR="008833BE" w:rsidRPr="008833BE">
        <w:rPr>
          <w:i/>
          <w:lang w:val="en-GB"/>
        </w:rPr>
        <w:t xml:space="preserve">(no. 2) </w:t>
      </w:r>
      <w:r w:rsidR="008833BE">
        <w:rPr>
          <w:lang w:val="en-GB"/>
        </w:rPr>
        <w:t>(</w:t>
      </w:r>
      <w:r w:rsidR="008833BE" w:rsidRPr="008833BE">
        <w:rPr>
          <w:lang w:val="en-GB"/>
        </w:rPr>
        <w:t>[GC], no. 10249/03, 17 September 2009</w:t>
      </w:r>
      <w:r w:rsidR="008833BE">
        <w:rPr>
          <w:lang w:val="en-GB"/>
        </w:rPr>
        <w:t>)</w:t>
      </w:r>
      <w:r w:rsidR="00EA2AA9">
        <w:rPr>
          <w:lang w:val="en-GB"/>
        </w:rPr>
        <w:t>.</w:t>
      </w:r>
      <w:r w:rsidR="00632A2E">
        <w:rPr>
          <w:lang w:val="en-GB"/>
        </w:rPr>
        <w:t xml:space="preserve"> </w:t>
      </w:r>
      <w:r w:rsidR="00EA2AA9">
        <w:rPr>
          <w:lang w:val="en-GB"/>
        </w:rPr>
        <w:t>Indeed</w:t>
      </w:r>
      <w:r w:rsidR="001A5E09">
        <w:rPr>
          <w:lang w:val="en-GB"/>
        </w:rPr>
        <w:t>,</w:t>
      </w:r>
      <w:r w:rsidR="00EA2AA9">
        <w:rPr>
          <w:lang w:val="en-GB"/>
        </w:rPr>
        <w:t xml:space="preserve"> </w:t>
      </w:r>
      <w:r w:rsidR="00F9470E">
        <w:rPr>
          <w:lang w:val="en-GB"/>
        </w:rPr>
        <w:t xml:space="preserve">in </w:t>
      </w:r>
      <w:r w:rsidR="00F9470E">
        <w:rPr>
          <w:szCs w:val="24"/>
          <w:lang w:val="en-GB"/>
        </w:rPr>
        <w:t xml:space="preserve">its judgment </w:t>
      </w:r>
      <w:r w:rsidR="00F9470E" w:rsidRPr="00E72ABD">
        <w:rPr>
          <w:lang w:val="en-GB"/>
        </w:rPr>
        <w:t xml:space="preserve">no. 274 </w:t>
      </w:r>
      <w:r w:rsidR="00EA2AA9">
        <w:rPr>
          <w:lang w:val="en-GB"/>
        </w:rPr>
        <w:t xml:space="preserve">the Constitutional Court had made statements </w:t>
      </w:r>
      <w:r w:rsidR="001A5E09">
        <w:rPr>
          <w:lang w:val="en-GB"/>
        </w:rPr>
        <w:t xml:space="preserve">which were </w:t>
      </w:r>
      <w:r w:rsidR="00EA2AA9">
        <w:rPr>
          <w:lang w:val="en-GB"/>
        </w:rPr>
        <w:t xml:space="preserve">contradictory </w:t>
      </w:r>
      <w:r w:rsidR="001A5E09">
        <w:rPr>
          <w:lang w:val="en-GB"/>
        </w:rPr>
        <w:t xml:space="preserve">to </w:t>
      </w:r>
      <w:r w:rsidR="00EA2AA9">
        <w:rPr>
          <w:lang w:val="en-GB"/>
        </w:rPr>
        <w:t>the principles derived from Article 6</w:t>
      </w:r>
      <w:r w:rsidR="001A5E09">
        <w:rPr>
          <w:lang w:val="en-GB"/>
        </w:rPr>
        <w:t>,</w:t>
      </w:r>
      <w:r w:rsidR="0086472D">
        <w:rPr>
          <w:lang w:val="en-GB"/>
        </w:rPr>
        <w:t xml:space="preserve"> and moreover had not categorically stated that the norm was one</w:t>
      </w:r>
      <w:r w:rsidR="00632A2E">
        <w:rPr>
          <w:lang w:val="en-GB"/>
        </w:rPr>
        <w:t xml:space="preserve"> </w:t>
      </w:r>
      <w:r w:rsidR="0086472D">
        <w:rPr>
          <w:lang w:val="en-GB"/>
        </w:rPr>
        <w:t xml:space="preserve">of </w:t>
      </w:r>
      <w:r w:rsidR="001A5E09">
        <w:rPr>
          <w:lang w:val="en-GB"/>
        </w:rPr>
        <w:t xml:space="preserve">genuine </w:t>
      </w:r>
      <w:r w:rsidR="0086472D">
        <w:rPr>
          <w:lang w:val="en-GB"/>
        </w:rPr>
        <w:t>interpretation</w:t>
      </w:r>
      <w:r w:rsidR="00254DEE">
        <w:rPr>
          <w:lang w:val="en-GB"/>
        </w:rPr>
        <w:t xml:space="preserve"> (see paragraph 54 above)</w:t>
      </w:r>
      <w:r w:rsidR="00EA2AA9">
        <w:rPr>
          <w:lang w:val="en-GB"/>
        </w:rPr>
        <w:t>. Furthermore, the relevance of the applicant companies</w:t>
      </w:r>
      <w:r w:rsidR="00864D90">
        <w:rPr>
          <w:lang w:val="en-GB"/>
        </w:rPr>
        <w:t>’</w:t>
      </w:r>
      <w:r w:rsidR="00EA2AA9">
        <w:rPr>
          <w:lang w:val="en-GB"/>
        </w:rPr>
        <w:t xml:space="preserve"> arguments had been evident also to the Attorney General </w:t>
      </w:r>
      <w:r w:rsidR="003525E4">
        <w:rPr>
          <w:lang w:val="en-GB"/>
        </w:rPr>
        <w:t xml:space="preserve">to </w:t>
      </w:r>
      <w:r w:rsidR="00EA2AA9">
        <w:rPr>
          <w:lang w:val="en-GB"/>
        </w:rPr>
        <w:t xml:space="preserve">the Court of Cassation </w:t>
      </w:r>
      <w:r w:rsidR="00F9470E">
        <w:rPr>
          <w:lang w:val="en-GB"/>
        </w:rPr>
        <w:t>(</w:t>
      </w:r>
      <w:r w:rsidR="00F9470E" w:rsidRPr="00F9470E">
        <w:rPr>
          <w:i/>
          <w:lang w:val="en-GB"/>
        </w:rPr>
        <w:t>Procu</w:t>
      </w:r>
      <w:r w:rsidR="008833BE">
        <w:rPr>
          <w:i/>
          <w:lang w:val="en-GB"/>
        </w:rPr>
        <w:t>ratore Gene</w:t>
      </w:r>
      <w:r w:rsidR="00F9470E" w:rsidRPr="00F9470E">
        <w:rPr>
          <w:i/>
          <w:lang w:val="en-GB"/>
        </w:rPr>
        <w:t>r</w:t>
      </w:r>
      <w:r w:rsidR="008833BE">
        <w:rPr>
          <w:i/>
          <w:lang w:val="en-GB"/>
        </w:rPr>
        <w:t>a</w:t>
      </w:r>
      <w:r w:rsidR="00F9470E" w:rsidRPr="00F9470E">
        <w:rPr>
          <w:i/>
          <w:lang w:val="en-GB"/>
        </w:rPr>
        <w:t>le della Repub</w:t>
      </w:r>
      <w:r w:rsidR="008833BE">
        <w:rPr>
          <w:i/>
          <w:lang w:val="en-GB"/>
        </w:rPr>
        <w:t>b</w:t>
      </w:r>
      <w:r w:rsidR="00F9470E" w:rsidRPr="00F9470E">
        <w:rPr>
          <w:i/>
          <w:lang w:val="en-GB"/>
        </w:rPr>
        <w:t>lica presso la Corte di Cassazione)</w:t>
      </w:r>
      <w:r w:rsidR="00F9470E">
        <w:rPr>
          <w:i/>
          <w:lang w:val="en-GB"/>
        </w:rPr>
        <w:t xml:space="preserve"> </w:t>
      </w:r>
      <w:r w:rsidR="00B67E5E">
        <w:rPr>
          <w:lang w:val="en-GB"/>
        </w:rPr>
        <w:t xml:space="preserve">who had not considered the challenge under Article 6 </w:t>
      </w:r>
      <w:r w:rsidR="00F9470E">
        <w:rPr>
          <w:lang w:val="en-GB"/>
        </w:rPr>
        <w:t xml:space="preserve">as manifestly irrelevant or ill-founded and who had made statements such as </w:t>
      </w:r>
      <w:r w:rsidR="0076505C">
        <w:rPr>
          <w:lang w:val="en-GB"/>
        </w:rPr>
        <w:t>“</w:t>
      </w:r>
      <w:r w:rsidR="00F9470E">
        <w:rPr>
          <w:lang w:val="en-GB"/>
        </w:rPr>
        <w:t xml:space="preserve">the </w:t>
      </w:r>
      <w:r w:rsidR="001A5E09">
        <w:rPr>
          <w:lang w:val="en-GB"/>
        </w:rPr>
        <w:t>claimant</w:t>
      </w:r>
      <w:r w:rsidR="00F9470E">
        <w:rPr>
          <w:lang w:val="en-GB"/>
        </w:rPr>
        <w:t>s</w:t>
      </w:r>
      <w:r w:rsidR="00864D90">
        <w:rPr>
          <w:lang w:val="en-GB"/>
        </w:rPr>
        <w:t>’</w:t>
      </w:r>
      <w:r w:rsidR="00F9470E">
        <w:rPr>
          <w:lang w:val="en-GB"/>
        </w:rPr>
        <w:t xml:space="preserve"> reasonable expectation to see their claim </w:t>
      </w:r>
      <w:r w:rsidR="0076505C">
        <w:rPr>
          <w:lang w:val="en-GB"/>
        </w:rPr>
        <w:t>granted</w:t>
      </w:r>
      <w:r w:rsidR="00F9470E">
        <w:rPr>
          <w:lang w:val="en-GB"/>
        </w:rPr>
        <w:t>” and “[the provision] influenced the judge</w:t>
      </w:r>
      <w:r w:rsidR="00864D90">
        <w:rPr>
          <w:lang w:val="en-GB"/>
        </w:rPr>
        <w:t>’</w:t>
      </w:r>
      <w:r w:rsidR="00F9470E">
        <w:rPr>
          <w:lang w:val="en-GB"/>
        </w:rPr>
        <w:t>s decision”.</w:t>
      </w:r>
    </w:p>
    <w:p w:rsidR="00DB583D" w:rsidRPr="000C52D5" w:rsidRDefault="00553AB2" w:rsidP="009B0194">
      <w:pPr>
        <w:pStyle w:val="ECHRHeading4"/>
        <w:rPr>
          <w:lang w:val="en-GB"/>
        </w:rPr>
      </w:pPr>
      <w:r>
        <w:rPr>
          <w:lang w:val="en-GB"/>
        </w:rPr>
        <w:t>(b)  </w:t>
      </w:r>
      <w:r w:rsidR="00DB583D" w:rsidRPr="000C52D5">
        <w:rPr>
          <w:lang w:val="en-GB"/>
        </w:rPr>
        <w:t>The Government</w:t>
      </w:r>
      <w:r w:rsidR="00864D90">
        <w:rPr>
          <w:lang w:val="en-GB"/>
        </w:rPr>
        <w:t>’</w:t>
      </w:r>
      <w:r w:rsidR="00DB583D" w:rsidRPr="000C52D5">
        <w:rPr>
          <w:lang w:val="en-GB"/>
        </w:rPr>
        <w:t xml:space="preserve">s </w:t>
      </w:r>
      <w:r w:rsidR="00DB583D" w:rsidRPr="00BF255A">
        <w:rPr>
          <w:lang w:val="en-GB"/>
        </w:rPr>
        <w:t>submissions</w:t>
      </w:r>
    </w:p>
    <w:p w:rsidR="00A75C71" w:rsidRDefault="00BF255A" w:rsidP="009B0194">
      <w:pPr>
        <w:pStyle w:val="ECHRPara"/>
        <w:rPr>
          <w:szCs w:val="24"/>
          <w:lang w:val="en-GB"/>
        </w:rPr>
      </w:pPr>
      <w:r>
        <w:rPr>
          <w:szCs w:val="24"/>
          <w:lang w:val="en-GB"/>
        </w:rPr>
        <w:fldChar w:fldCharType="begin"/>
      </w:r>
      <w:r>
        <w:rPr>
          <w:szCs w:val="24"/>
          <w:lang w:val="en-GB"/>
        </w:rPr>
        <w:instrText xml:space="preserve"> SEQ level0 \*arabic </w:instrText>
      </w:r>
      <w:r>
        <w:rPr>
          <w:szCs w:val="24"/>
          <w:lang w:val="en-GB"/>
        </w:rPr>
        <w:fldChar w:fldCharType="separate"/>
      </w:r>
      <w:r w:rsidR="00D471CA">
        <w:rPr>
          <w:noProof/>
          <w:szCs w:val="24"/>
          <w:lang w:val="en-GB"/>
        </w:rPr>
        <w:t>69</w:t>
      </w:r>
      <w:r>
        <w:rPr>
          <w:szCs w:val="24"/>
          <w:lang w:val="en-GB"/>
        </w:rPr>
        <w:fldChar w:fldCharType="end"/>
      </w:r>
      <w:r>
        <w:rPr>
          <w:szCs w:val="24"/>
          <w:lang w:val="en-GB"/>
        </w:rPr>
        <w:t>.  </w:t>
      </w:r>
      <w:r w:rsidR="00006C51">
        <w:rPr>
          <w:szCs w:val="24"/>
          <w:lang w:val="en-GB"/>
        </w:rPr>
        <w:t xml:space="preserve">The Government submitted that in </w:t>
      </w:r>
      <w:r w:rsidR="001A781E">
        <w:rPr>
          <w:szCs w:val="24"/>
          <w:lang w:val="en-GB"/>
        </w:rPr>
        <w:t xml:space="preserve">allowing </w:t>
      </w:r>
      <w:r w:rsidR="00006C51">
        <w:rPr>
          <w:szCs w:val="24"/>
          <w:lang w:val="en-GB"/>
        </w:rPr>
        <w:t>the INPS</w:t>
      </w:r>
      <w:r w:rsidR="00864D90">
        <w:rPr>
          <w:szCs w:val="24"/>
          <w:lang w:val="en-GB"/>
        </w:rPr>
        <w:t>’</w:t>
      </w:r>
      <w:r w:rsidR="00347A3A">
        <w:rPr>
          <w:szCs w:val="24"/>
          <w:lang w:val="en-GB"/>
        </w:rPr>
        <w:t>s</w:t>
      </w:r>
      <w:r w:rsidR="00006C51">
        <w:rPr>
          <w:szCs w:val="24"/>
          <w:lang w:val="en-GB"/>
        </w:rPr>
        <w:t xml:space="preserve"> appeal</w:t>
      </w:r>
      <w:r w:rsidR="00347A3A">
        <w:rPr>
          <w:szCs w:val="24"/>
          <w:lang w:val="en-GB"/>
        </w:rPr>
        <w:t>,</w:t>
      </w:r>
      <w:r w:rsidR="00006C51">
        <w:rPr>
          <w:szCs w:val="24"/>
          <w:lang w:val="en-GB"/>
        </w:rPr>
        <w:t xml:space="preserve"> in which the latter had pleaded </w:t>
      </w:r>
      <w:r w:rsidR="00006C51" w:rsidRPr="00006C51">
        <w:rPr>
          <w:i/>
          <w:szCs w:val="24"/>
          <w:lang w:val="en-GB"/>
        </w:rPr>
        <w:t>jus superveniens</w:t>
      </w:r>
      <w:r w:rsidR="00006C51">
        <w:rPr>
          <w:szCs w:val="24"/>
          <w:lang w:val="en-GB"/>
        </w:rPr>
        <w:t>, the Court of Cassation had considered that the supervening law was on</w:t>
      </w:r>
      <w:r w:rsidR="00A75C71">
        <w:rPr>
          <w:szCs w:val="24"/>
          <w:lang w:val="en-GB"/>
        </w:rPr>
        <w:t>e</w:t>
      </w:r>
      <w:r w:rsidR="00006C51">
        <w:rPr>
          <w:szCs w:val="24"/>
          <w:lang w:val="en-GB"/>
        </w:rPr>
        <w:t xml:space="preserve"> of authentic interpretation which </w:t>
      </w:r>
      <w:r w:rsidR="00347A3A">
        <w:rPr>
          <w:szCs w:val="24"/>
          <w:lang w:val="en-GB"/>
        </w:rPr>
        <w:t xml:space="preserve">had </w:t>
      </w:r>
      <w:r w:rsidR="00006C51">
        <w:rPr>
          <w:szCs w:val="24"/>
          <w:lang w:val="en-GB"/>
        </w:rPr>
        <w:t xml:space="preserve">intervened in </w:t>
      </w:r>
      <w:r w:rsidR="00347A3A">
        <w:rPr>
          <w:szCs w:val="24"/>
          <w:lang w:val="en-GB"/>
        </w:rPr>
        <w:t>order</w:t>
      </w:r>
      <w:r w:rsidR="00006C51">
        <w:rPr>
          <w:szCs w:val="24"/>
          <w:lang w:val="en-GB"/>
        </w:rPr>
        <w:t xml:space="preserve"> to regulate the relationship between different benefits. It provided for the rule that </w:t>
      </w:r>
      <w:r w:rsidR="009179EB">
        <w:rPr>
          <w:szCs w:val="24"/>
          <w:lang w:val="en-GB"/>
        </w:rPr>
        <w:t>facilitations</w:t>
      </w:r>
      <w:r w:rsidR="005C75F3">
        <w:rPr>
          <w:szCs w:val="24"/>
          <w:lang w:val="en-GB"/>
        </w:rPr>
        <w:t xml:space="preserve"> or tax reductions in favour of agricultural firms situated in mountainous territories or disadvantaged agricultural zones</w:t>
      </w:r>
      <w:r w:rsidR="00A75C71">
        <w:rPr>
          <w:szCs w:val="24"/>
          <w:lang w:val="en-GB"/>
        </w:rPr>
        <w:t xml:space="preserve"> could not be </w:t>
      </w:r>
      <w:r w:rsidR="005F4E38">
        <w:rPr>
          <w:szCs w:val="24"/>
          <w:lang w:val="en-GB"/>
        </w:rPr>
        <w:t>accumulated</w:t>
      </w:r>
      <w:r w:rsidR="00A75C71">
        <w:rPr>
          <w:szCs w:val="24"/>
          <w:lang w:val="en-GB"/>
        </w:rPr>
        <w:t xml:space="preserve"> with </w:t>
      </w:r>
      <w:r w:rsidR="009179EB">
        <w:rPr>
          <w:szCs w:val="24"/>
          <w:lang w:val="en-GB"/>
        </w:rPr>
        <w:t xml:space="preserve">benefits </w:t>
      </w:r>
      <w:r w:rsidR="00A75C71">
        <w:rPr>
          <w:szCs w:val="24"/>
          <w:lang w:val="en-GB"/>
        </w:rPr>
        <w:t xml:space="preserve">or tax reductions in favour of agricultural firms in the south of Italy, or with contributory concessions in respect of illness for the financing of the National Health Service. One had to determine which category of territory (Southern Italy, Central-North, mountainous region, or disadvantaged agricultural zone) </w:t>
      </w:r>
      <w:r w:rsidR="000F4407">
        <w:rPr>
          <w:szCs w:val="24"/>
          <w:lang w:val="en-GB"/>
        </w:rPr>
        <w:t>an</w:t>
      </w:r>
      <w:r w:rsidR="00A75C71">
        <w:rPr>
          <w:szCs w:val="24"/>
          <w:lang w:val="en-GB"/>
        </w:rPr>
        <w:t xml:space="preserve"> agricultural firm fell </w:t>
      </w:r>
      <w:r w:rsidR="00920231">
        <w:rPr>
          <w:szCs w:val="24"/>
          <w:lang w:val="en-GB"/>
        </w:rPr>
        <w:t xml:space="preserve">under </w:t>
      </w:r>
      <w:r w:rsidR="00A75C71">
        <w:rPr>
          <w:szCs w:val="24"/>
          <w:lang w:val="en-GB"/>
        </w:rPr>
        <w:t xml:space="preserve">in order to identify which </w:t>
      </w:r>
      <w:r w:rsidR="00347A3A">
        <w:rPr>
          <w:szCs w:val="24"/>
          <w:lang w:val="en-GB"/>
        </w:rPr>
        <w:t xml:space="preserve">benefit </w:t>
      </w:r>
      <w:r w:rsidR="00A75C71">
        <w:rPr>
          <w:szCs w:val="24"/>
          <w:lang w:val="en-GB"/>
        </w:rPr>
        <w:t xml:space="preserve">was applicable to </w:t>
      </w:r>
      <w:r w:rsidR="000F4407">
        <w:rPr>
          <w:szCs w:val="24"/>
          <w:lang w:val="en-GB"/>
        </w:rPr>
        <w:t xml:space="preserve">that </w:t>
      </w:r>
      <w:r w:rsidR="00A75C71">
        <w:rPr>
          <w:szCs w:val="24"/>
          <w:lang w:val="en-GB"/>
        </w:rPr>
        <w:t>firm.</w:t>
      </w:r>
    </w:p>
    <w:p w:rsidR="00632A2E" w:rsidRDefault="00A67C22" w:rsidP="009B0194">
      <w:pPr>
        <w:pStyle w:val="ECHRPara"/>
        <w:rPr>
          <w:szCs w:val="24"/>
          <w:lang w:val="en-GB"/>
        </w:rPr>
      </w:pPr>
      <w:r>
        <w:rPr>
          <w:szCs w:val="24"/>
          <w:lang w:val="en-GB"/>
        </w:rPr>
        <w:fldChar w:fldCharType="begin"/>
      </w:r>
      <w:r>
        <w:rPr>
          <w:szCs w:val="24"/>
          <w:lang w:val="en-GB"/>
        </w:rPr>
        <w:instrText xml:space="preserve"> SEQ level0 \*arabic </w:instrText>
      </w:r>
      <w:r>
        <w:rPr>
          <w:szCs w:val="24"/>
          <w:lang w:val="en-GB"/>
        </w:rPr>
        <w:fldChar w:fldCharType="separate"/>
      </w:r>
      <w:r w:rsidR="00D471CA">
        <w:rPr>
          <w:noProof/>
          <w:szCs w:val="24"/>
          <w:lang w:val="en-GB"/>
        </w:rPr>
        <w:t>70</w:t>
      </w:r>
      <w:r>
        <w:rPr>
          <w:szCs w:val="24"/>
          <w:lang w:val="en-GB"/>
        </w:rPr>
        <w:fldChar w:fldCharType="end"/>
      </w:r>
      <w:r>
        <w:rPr>
          <w:szCs w:val="24"/>
          <w:lang w:val="en-GB"/>
        </w:rPr>
        <w:t xml:space="preserve">.  The Government submitted that the </w:t>
      </w:r>
      <w:r w:rsidR="00B06C20">
        <w:rPr>
          <w:szCs w:val="24"/>
          <w:lang w:val="en-GB"/>
        </w:rPr>
        <w:t xml:space="preserve">enactment of and the </w:t>
      </w:r>
      <w:r>
        <w:rPr>
          <w:szCs w:val="24"/>
          <w:lang w:val="en-GB"/>
        </w:rPr>
        <w:t xml:space="preserve">authentic interpretation given to </w:t>
      </w:r>
      <w:r w:rsidR="00B06C20" w:rsidRPr="00DE1463">
        <w:rPr>
          <w:lang w:val="en-GB"/>
        </w:rPr>
        <w:t>Law no. 326</w:t>
      </w:r>
      <w:r w:rsidR="00704C07">
        <w:rPr>
          <w:lang w:val="en-GB"/>
        </w:rPr>
        <w:t>/</w:t>
      </w:r>
      <w:r w:rsidR="00B06C20">
        <w:rPr>
          <w:lang w:val="en-GB"/>
        </w:rPr>
        <w:t xml:space="preserve">03 </w:t>
      </w:r>
      <w:r w:rsidR="00B06C20">
        <w:rPr>
          <w:szCs w:val="24"/>
          <w:lang w:val="en-GB"/>
        </w:rPr>
        <w:t>was justified on</w:t>
      </w:r>
      <w:r>
        <w:rPr>
          <w:szCs w:val="24"/>
          <w:lang w:val="en-GB"/>
        </w:rPr>
        <w:t xml:space="preserve"> the basis of compelling general</w:t>
      </w:r>
      <w:r w:rsidR="00C414A0">
        <w:rPr>
          <w:szCs w:val="24"/>
          <w:lang w:val="en-GB"/>
        </w:rPr>
        <w:t xml:space="preserve"> </w:t>
      </w:r>
      <w:r>
        <w:rPr>
          <w:szCs w:val="24"/>
          <w:lang w:val="en-GB"/>
        </w:rPr>
        <w:t xml:space="preserve">interest reasons. On </w:t>
      </w:r>
      <w:r w:rsidR="000F4407">
        <w:rPr>
          <w:szCs w:val="24"/>
          <w:lang w:val="en-GB"/>
        </w:rPr>
        <w:t xml:space="preserve">that </w:t>
      </w:r>
      <w:r>
        <w:rPr>
          <w:szCs w:val="24"/>
          <w:lang w:val="en-GB"/>
        </w:rPr>
        <w:t xml:space="preserve">issue, the Constitutional Court had </w:t>
      </w:r>
      <w:r w:rsidR="0076505C">
        <w:rPr>
          <w:szCs w:val="24"/>
          <w:lang w:val="en-GB"/>
        </w:rPr>
        <w:t>delivered</w:t>
      </w:r>
      <w:r>
        <w:rPr>
          <w:szCs w:val="24"/>
          <w:lang w:val="en-GB"/>
        </w:rPr>
        <w:t xml:space="preserve"> judgment no. 274 of 2006, holding that the impugned law did not minimise the role of the judiciary or violate the principle of </w:t>
      </w:r>
      <w:r w:rsidR="00FC5987" w:rsidRPr="00FC5987">
        <w:rPr>
          <w:i/>
          <w:szCs w:val="24"/>
          <w:lang w:val="en-GB"/>
        </w:rPr>
        <w:t>confiance legitime</w:t>
      </w:r>
      <w:r w:rsidR="00FC5987">
        <w:rPr>
          <w:i/>
          <w:szCs w:val="24"/>
          <w:lang w:val="en-GB"/>
        </w:rPr>
        <w:t xml:space="preserve"> </w:t>
      </w:r>
      <w:r w:rsidR="00FC5987" w:rsidRPr="00591B3F">
        <w:rPr>
          <w:szCs w:val="24"/>
          <w:lang w:val="en-GB"/>
        </w:rPr>
        <w:t>(</w:t>
      </w:r>
      <w:r w:rsidR="00FC5987" w:rsidRPr="00B27720">
        <w:rPr>
          <w:i/>
          <w:szCs w:val="24"/>
          <w:lang w:val="en-GB"/>
        </w:rPr>
        <w:t>sic</w:t>
      </w:r>
      <w:r w:rsidR="00FC5987" w:rsidRPr="00591B3F">
        <w:rPr>
          <w:szCs w:val="24"/>
          <w:lang w:val="en-GB"/>
        </w:rPr>
        <w:t>)</w:t>
      </w:r>
      <w:r>
        <w:rPr>
          <w:szCs w:val="24"/>
          <w:lang w:val="en-GB"/>
        </w:rPr>
        <w:t xml:space="preserve">. It considered that the impossibility of cumulating such benefits </w:t>
      </w:r>
      <w:r w:rsidR="00701A08">
        <w:rPr>
          <w:szCs w:val="24"/>
          <w:lang w:val="en-GB"/>
        </w:rPr>
        <w:t xml:space="preserve">had been </w:t>
      </w:r>
      <w:r>
        <w:rPr>
          <w:szCs w:val="24"/>
          <w:lang w:val="en-GB"/>
        </w:rPr>
        <w:t>one of the possible interpretations of the law as from the</w:t>
      </w:r>
      <w:r w:rsidR="00B06C20">
        <w:rPr>
          <w:szCs w:val="24"/>
          <w:lang w:val="en-GB"/>
        </w:rPr>
        <w:t xml:space="preserve"> start. That interpretation had immediately been followed</w:t>
      </w:r>
      <w:r>
        <w:rPr>
          <w:szCs w:val="24"/>
          <w:lang w:val="en-GB"/>
        </w:rPr>
        <w:t xml:space="preserve"> by the INPS, but </w:t>
      </w:r>
      <w:r w:rsidR="00B06C20">
        <w:rPr>
          <w:szCs w:val="24"/>
          <w:lang w:val="en-GB"/>
        </w:rPr>
        <w:t xml:space="preserve">was then </w:t>
      </w:r>
      <w:r>
        <w:rPr>
          <w:szCs w:val="24"/>
          <w:lang w:val="en-GB"/>
        </w:rPr>
        <w:t>contradic</w:t>
      </w:r>
      <w:r w:rsidR="00920231">
        <w:rPr>
          <w:szCs w:val="24"/>
          <w:lang w:val="en-GB"/>
        </w:rPr>
        <w:t>ted by the Court of Cassation ten</w:t>
      </w:r>
      <w:r>
        <w:rPr>
          <w:szCs w:val="24"/>
          <w:lang w:val="en-GB"/>
        </w:rPr>
        <w:t xml:space="preserve"> years later. </w:t>
      </w:r>
      <w:r w:rsidR="00B06C20">
        <w:rPr>
          <w:szCs w:val="24"/>
          <w:lang w:val="en-GB"/>
        </w:rPr>
        <w:t xml:space="preserve">Such a situation </w:t>
      </w:r>
      <w:r w:rsidR="00701A08">
        <w:rPr>
          <w:szCs w:val="24"/>
          <w:lang w:val="en-GB"/>
        </w:rPr>
        <w:t xml:space="preserve">had </w:t>
      </w:r>
      <w:r w:rsidR="00B06C20">
        <w:rPr>
          <w:szCs w:val="24"/>
          <w:lang w:val="en-GB"/>
        </w:rPr>
        <w:t xml:space="preserve">created uncertainty and it </w:t>
      </w:r>
      <w:r w:rsidR="00701A08">
        <w:rPr>
          <w:szCs w:val="24"/>
          <w:lang w:val="en-GB"/>
        </w:rPr>
        <w:t xml:space="preserve">had </w:t>
      </w:r>
      <w:r w:rsidR="00B06C20">
        <w:rPr>
          <w:szCs w:val="24"/>
          <w:lang w:val="en-GB"/>
        </w:rPr>
        <w:t xml:space="preserve">therefore </w:t>
      </w:r>
      <w:r w:rsidR="00701A08">
        <w:rPr>
          <w:szCs w:val="24"/>
          <w:lang w:val="en-GB"/>
        </w:rPr>
        <w:t xml:space="preserve">been </w:t>
      </w:r>
      <w:r w:rsidR="00B06C20">
        <w:rPr>
          <w:szCs w:val="24"/>
          <w:lang w:val="en-GB"/>
        </w:rPr>
        <w:t xml:space="preserve">reasonable to intervene by means of a law of authentic interpretation. The Government further submitted that it had been necessary to enact </w:t>
      </w:r>
      <w:r w:rsidR="00704C07" w:rsidRPr="00DE1463">
        <w:rPr>
          <w:lang w:val="en-GB"/>
        </w:rPr>
        <w:t>Law no. 326</w:t>
      </w:r>
      <w:r w:rsidR="00704C07">
        <w:rPr>
          <w:lang w:val="en-GB"/>
        </w:rPr>
        <w:t xml:space="preserve">/03 </w:t>
      </w:r>
      <w:r w:rsidR="00B06C20">
        <w:rPr>
          <w:szCs w:val="24"/>
          <w:lang w:val="en-GB"/>
        </w:rPr>
        <w:t xml:space="preserve">to </w:t>
      </w:r>
      <w:r w:rsidR="00553AB2">
        <w:rPr>
          <w:szCs w:val="24"/>
          <w:lang w:val="en-GB"/>
        </w:rPr>
        <w:t>re</w:t>
      </w:r>
      <w:r w:rsidR="00553AB2">
        <w:rPr>
          <w:szCs w:val="24"/>
          <w:lang w:val="en-GB"/>
        </w:rPr>
        <w:noBreakHyphen/>
      </w:r>
      <w:r w:rsidR="00B06C20">
        <w:rPr>
          <w:szCs w:val="24"/>
          <w:lang w:val="en-GB"/>
        </w:rPr>
        <w:t xml:space="preserve">establish the original interpretation of the applicable legal norms which had been applied consistently for </w:t>
      </w:r>
      <w:r w:rsidR="00920231">
        <w:rPr>
          <w:szCs w:val="24"/>
          <w:lang w:val="en-GB"/>
        </w:rPr>
        <w:t>ten</w:t>
      </w:r>
      <w:r w:rsidR="00B06C20">
        <w:rPr>
          <w:szCs w:val="24"/>
          <w:lang w:val="en-GB"/>
        </w:rPr>
        <w:t xml:space="preserve"> years by </w:t>
      </w:r>
      <w:r w:rsidR="00B06C20" w:rsidRPr="00176A4D">
        <w:rPr>
          <w:szCs w:val="24"/>
          <w:lang w:val="en-GB"/>
        </w:rPr>
        <w:t xml:space="preserve">the INPS </w:t>
      </w:r>
      <w:r w:rsidR="00176A4D">
        <w:rPr>
          <w:szCs w:val="24"/>
          <w:lang w:val="en-GB"/>
        </w:rPr>
        <w:t xml:space="preserve">but which had been </w:t>
      </w:r>
      <w:r w:rsidR="00405AA4">
        <w:rPr>
          <w:szCs w:val="24"/>
          <w:lang w:val="en-GB"/>
        </w:rPr>
        <w:t>given a different meaning</w:t>
      </w:r>
      <w:r w:rsidR="00176A4D">
        <w:rPr>
          <w:szCs w:val="24"/>
          <w:lang w:val="en-GB"/>
        </w:rPr>
        <w:t xml:space="preserve"> by the domestic courts </w:t>
      </w:r>
      <w:r w:rsidR="00176A4D" w:rsidRPr="004F3620">
        <w:rPr>
          <w:szCs w:val="24"/>
          <w:lang w:val="en-GB"/>
        </w:rPr>
        <w:t xml:space="preserve">the first time the </w:t>
      </w:r>
      <w:r w:rsidR="00704C07" w:rsidRPr="004F3620">
        <w:rPr>
          <w:szCs w:val="24"/>
          <w:lang w:val="en-GB"/>
        </w:rPr>
        <w:t>issue was brought before them (final j</w:t>
      </w:r>
      <w:r w:rsidR="00F83C59">
        <w:rPr>
          <w:szCs w:val="24"/>
          <w:lang w:val="en-GB"/>
        </w:rPr>
        <w:t>udgment no. 142</w:t>
      </w:r>
      <w:r w:rsidR="00176A4D" w:rsidRPr="004F3620">
        <w:rPr>
          <w:szCs w:val="24"/>
          <w:lang w:val="en-GB"/>
        </w:rPr>
        <w:t>27 of 27 October 2000).</w:t>
      </w:r>
    </w:p>
    <w:p w:rsidR="00405AA4" w:rsidRPr="004F3620" w:rsidRDefault="00405AA4" w:rsidP="009B0194">
      <w:pPr>
        <w:pStyle w:val="ECHRPara"/>
        <w:rPr>
          <w:bCs/>
          <w:lang w:val="en-GB"/>
        </w:rPr>
      </w:pPr>
      <w:r w:rsidRPr="004F3620">
        <w:rPr>
          <w:szCs w:val="24"/>
          <w:lang w:val="en-GB"/>
        </w:rPr>
        <w:fldChar w:fldCharType="begin"/>
      </w:r>
      <w:r w:rsidRPr="004F3620">
        <w:rPr>
          <w:szCs w:val="24"/>
          <w:lang w:val="en-GB"/>
        </w:rPr>
        <w:instrText xml:space="preserve"> SEQ level0 \*arabic </w:instrText>
      </w:r>
      <w:r w:rsidRPr="004F3620">
        <w:rPr>
          <w:szCs w:val="24"/>
          <w:lang w:val="en-GB"/>
        </w:rPr>
        <w:fldChar w:fldCharType="separate"/>
      </w:r>
      <w:r w:rsidR="00D471CA">
        <w:rPr>
          <w:noProof/>
          <w:szCs w:val="24"/>
          <w:lang w:val="en-GB"/>
        </w:rPr>
        <w:t>71</w:t>
      </w:r>
      <w:r w:rsidRPr="004F3620">
        <w:rPr>
          <w:szCs w:val="24"/>
          <w:lang w:val="en-GB"/>
        </w:rPr>
        <w:fldChar w:fldCharType="end"/>
      </w:r>
      <w:r w:rsidRPr="004F3620">
        <w:rPr>
          <w:szCs w:val="24"/>
          <w:lang w:val="en-GB"/>
        </w:rPr>
        <w:t xml:space="preserve">.  The Government considered that it was that judgment which then opened the doors to a number of firms which decided to bring proceedings to recover the extra sums </w:t>
      </w:r>
      <w:r w:rsidR="004A1276">
        <w:rPr>
          <w:szCs w:val="24"/>
          <w:lang w:val="en-GB"/>
        </w:rPr>
        <w:t xml:space="preserve">they had </w:t>
      </w:r>
      <w:r w:rsidRPr="004F3620">
        <w:rPr>
          <w:szCs w:val="24"/>
          <w:lang w:val="en-GB"/>
        </w:rPr>
        <w:t xml:space="preserve">paid. The interpretative law had therefore not upset </w:t>
      </w:r>
      <w:r w:rsidR="004A1276">
        <w:rPr>
          <w:szCs w:val="24"/>
          <w:lang w:val="en-GB"/>
        </w:rPr>
        <w:t>the</w:t>
      </w:r>
      <w:r w:rsidR="004A1276" w:rsidRPr="004F3620">
        <w:rPr>
          <w:szCs w:val="24"/>
          <w:lang w:val="en-GB"/>
        </w:rPr>
        <w:t xml:space="preserve"> </w:t>
      </w:r>
      <w:r w:rsidR="004A1276">
        <w:rPr>
          <w:szCs w:val="24"/>
          <w:lang w:val="en-GB"/>
        </w:rPr>
        <w:t>consistent</w:t>
      </w:r>
      <w:r w:rsidR="004A1276" w:rsidRPr="004F3620">
        <w:rPr>
          <w:szCs w:val="24"/>
          <w:lang w:val="en-GB"/>
        </w:rPr>
        <w:t xml:space="preserve"> </w:t>
      </w:r>
      <w:r w:rsidRPr="004F3620">
        <w:rPr>
          <w:szCs w:val="24"/>
          <w:lang w:val="en-GB"/>
        </w:rPr>
        <w:t xml:space="preserve">consolidated </w:t>
      </w:r>
      <w:r w:rsidR="004A1276">
        <w:rPr>
          <w:szCs w:val="24"/>
          <w:lang w:val="en-GB"/>
        </w:rPr>
        <w:t>case-law</w:t>
      </w:r>
      <w:r w:rsidRPr="004F3620">
        <w:rPr>
          <w:szCs w:val="24"/>
          <w:lang w:val="en-GB"/>
        </w:rPr>
        <w:t xml:space="preserve">, but </w:t>
      </w:r>
      <w:r w:rsidR="004A1276">
        <w:rPr>
          <w:szCs w:val="24"/>
          <w:lang w:val="en-GB"/>
        </w:rPr>
        <w:t xml:space="preserve">had </w:t>
      </w:r>
      <w:r w:rsidRPr="004F3620">
        <w:rPr>
          <w:szCs w:val="24"/>
          <w:lang w:val="en-GB"/>
        </w:rPr>
        <w:t xml:space="preserve">simply clarified which of the two possible interpretations reflected the </w:t>
      </w:r>
      <w:r w:rsidRPr="004F3620">
        <w:rPr>
          <w:i/>
          <w:szCs w:val="24"/>
          <w:lang w:val="en-GB"/>
        </w:rPr>
        <w:t>ratio legis</w:t>
      </w:r>
      <w:r w:rsidRPr="004F3620">
        <w:rPr>
          <w:szCs w:val="24"/>
          <w:lang w:val="en-GB"/>
        </w:rPr>
        <w:t xml:space="preserve">. </w:t>
      </w:r>
      <w:r w:rsidR="00E81D9B" w:rsidRPr="004F3620">
        <w:rPr>
          <w:szCs w:val="24"/>
          <w:lang w:val="en-GB"/>
        </w:rPr>
        <w:t xml:space="preserve">Referring to the </w:t>
      </w:r>
      <w:r w:rsidR="00E81D9B" w:rsidRPr="004F3620">
        <w:rPr>
          <w:bCs/>
          <w:lang w:val="en-GB"/>
        </w:rPr>
        <w:t>Court</w:t>
      </w:r>
      <w:r w:rsidR="00704C07" w:rsidRPr="004F3620">
        <w:rPr>
          <w:bCs/>
          <w:lang w:val="en-GB"/>
        </w:rPr>
        <w:t xml:space="preserve"> of Cassation</w:t>
      </w:r>
      <w:r w:rsidR="00864D90">
        <w:rPr>
          <w:bCs/>
          <w:lang w:val="en-GB"/>
        </w:rPr>
        <w:t>’</w:t>
      </w:r>
      <w:r w:rsidR="004A1276">
        <w:rPr>
          <w:bCs/>
          <w:lang w:val="en-GB"/>
        </w:rPr>
        <w:t>s</w:t>
      </w:r>
      <w:r w:rsidR="00704C07" w:rsidRPr="004F3620">
        <w:rPr>
          <w:bCs/>
          <w:lang w:val="en-GB"/>
        </w:rPr>
        <w:t xml:space="preserve"> judgment no. 21692</w:t>
      </w:r>
      <w:r w:rsidR="00E81D9B" w:rsidRPr="004F3620">
        <w:rPr>
          <w:bCs/>
          <w:lang w:val="en-GB"/>
        </w:rPr>
        <w:t xml:space="preserve"> of 25 June 2008 (paragraph</w:t>
      </w:r>
      <w:r w:rsidR="00704C07" w:rsidRPr="004F3620">
        <w:rPr>
          <w:bCs/>
          <w:lang w:val="en-GB"/>
        </w:rPr>
        <w:t xml:space="preserve"> 57</w:t>
      </w:r>
      <w:r w:rsidR="00E81D9B" w:rsidRPr="004F3620">
        <w:rPr>
          <w:bCs/>
          <w:lang w:val="en-GB"/>
        </w:rPr>
        <w:t xml:space="preserve"> above)</w:t>
      </w:r>
      <w:r w:rsidR="00F649CC" w:rsidRPr="004F3620">
        <w:rPr>
          <w:bCs/>
          <w:lang w:val="en-GB"/>
        </w:rPr>
        <w:t xml:space="preserve"> and to </w:t>
      </w:r>
      <w:r w:rsidR="00C414A0">
        <w:rPr>
          <w:bCs/>
          <w:lang w:val="en-GB"/>
        </w:rPr>
        <w:t>a</w:t>
      </w:r>
      <w:r w:rsidR="00F649CC" w:rsidRPr="004F3620">
        <w:rPr>
          <w:bCs/>
          <w:lang w:val="en-GB"/>
        </w:rPr>
        <w:t xml:space="preserve"> commentary </w:t>
      </w:r>
      <w:r w:rsidR="00C414A0">
        <w:rPr>
          <w:bCs/>
          <w:lang w:val="en-GB"/>
        </w:rPr>
        <w:t xml:space="preserve">on it </w:t>
      </w:r>
      <w:r w:rsidR="00F649CC" w:rsidRPr="004F3620">
        <w:rPr>
          <w:bCs/>
          <w:lang w:val="en-GB"/>
        </w:rPr>
        <w:t>by a specialised lawyer who had previously defended the INPS</w:t>
      </w:r>
      <w:r w:rsidR="00864D90">
        <w:rPr>
          <w:bCs/>
          <w:lang w:val="en-GB"/>
        </w:rPr>
        <w:t>’</w:t>
      </w:r>
      <w:r w:rsidR="004A1276">
        <w:rPr>
          <w:bCs/>
          <w:lang w:val="en-GB"/>
        </w:rPr>
        <w:t>s</w:t>
      </w:r>
      <w:r w:rsidR="00F649CC" w:rsidRPr="004F3620">
        <w:rPr>
          <w:bCs/>
          <w:lang w:val="en-GB"/>
        </w:rPr>
        <w:t xml:space="preserve"> position</w:t>
      </w:r>
      <w:r w:rsidR="00E81D9B" w:rsidRPr="004F3620">
        <w:rPr>
          <w:bCs/>
          <w:lang w:val="en-GB"/>
        </w:rPr>
        <w:t>, the Government appealed to the Court to</w:t>
      </w:r>
      <w:r w:rsidR="00E81D9B" w:rsidRPr="004F3620">
        <w:rPr>
          <w:b/>
          <w:bCs/>
          <w:lang w:val="en-GB"/>
        </w:rPr>
        <w:t xml:space="preserve"> </w:t>
      </w:r>
      <w:r w:rsidR="00E81D9B" w:rsidRPr="004F3620">
        <w:rPr>
          <w:bCs/>
          <w:lang w:val="en-GB"/>
        </w:rPr>
        <w:t>trust the domestic authorities with the interpretation of domestic laws, in the light of the applicable national legal framework.</w:t>
      </w:r>
    </w:p>
    <w:p w:rsidR="004E593B" w:rsidRPr="004F3620" w:rsidRDefault="004E593B" w:rsidP="009B0194">
      <w:pPr>
        <w:pStyle w:val="ECHRPara"/>
        <w:rPr>
          <w:bCs/>
          <w:lang w:val="en-GB"/>
        </w:rPr>
      </w:pPr>
      <w:r w:rsidRPr="004F3620">
        <w:rPr>
          <w:bCs/>
          <w:lang w:val="en-GB"/>
        </w:rPr>
        <w:fldChar w:fldCharType="begin"/>
      </w:r>
      <w:r w:rsidRPr="004F3620">
        <w:rPr>
          <w:bCs/>
          <w:lang w:val="en-GB"/>
        </w:rPr>
        <w:instrText xml:space="preserve"> SEQ level0 \*arabic </w:instrText>
      </w:r>
      <w:r w:rsidRPr="004F3620">
        <w:rPr>
          <w:bCs/>
          <w:lang w:val="en-GB"/>
        </w:rPr>
        <w:fldChar w:fldCharType="separate"/>
      </w:r>
      <w:r w:rsidR="00D471CA">
        <w:rPr>
          <w:bCs/>
          <w:noProof/>
          <w:lang w:val="en-GB"/>
        </w:rPr>
        <w:t>72</w:t>
      </w:r>
      <w:r w:rsidRPr="004F3620">
        <w:rPr>
          <w:bCs/>
          <w:lang w:val="en-GB"/>
        </w:rPr>
        <w:fldChar w:fldCharType="end"/>
      </w:r>
      <w:r w:rsidRPr="004F3620">
        <w:rPr>
          <w:bCs/>
          <w:lang w:val="en-GB"/>
        </w:rPr>
        <w:t>.  They considered that it was of relevance that the applicant</w:t>
      </w:r>
      <w:r w:rsidR="004F3620" w:rsidRPr="004F3620">
        <w:rPr>
          <w:bCs/>
          <w:lang w:val="en-GB"/>
        </w:rPr>
        <w:t xml:space="preserve"> companies</w:t>
      </w:r>
      <w:r w:rsidRPr="004F3620">
        <w:rPr>
          <w:bCs/>
          <w:lang w:val="en-GB"/>
        </w:rPr>
        <w:t xml:space="preserve"> had acquiesced </w:t>
      </w:r>
      <w:r w:rsidR="00C414A0">
        <w:rPr>
          <w:bCs/>
          <w:lang w:val="en-GB"/>
        </w:rPr>
        <w:t>in</w:t>
      </w:r>
      <w:r w:rsidRPr="004F3620">
        <w:rPr>
          <w:bCs/>
          <w:lang w:val="en-GB"/>
        </w:rPr>
        <w:t xml:space="preserve"> paying their dues according to the INPS calculations for about a decade. In</w:t>
      </w:r>
      <w:r w:rsidR="00C00FE9" w:rsidRPr="004F3620">
        <w:rPr>
          <w:bCs/>
          <w:lang w:val="en-GB"/>
        </w:rPr>
        <w:t xml:space="preserve"> fact</w:t>
      </w:r>
      <w:r w:rsidR="00FF74CA">
        <w:rPr>
          <w:bCs/>
          <w:lang w:val="en-GB"/>
        </w:rPr>
        <w:t>,</w:t>
      </w:r>
      <w:r w:rsidRPr="004F3620">
        <w:rPr>
          <w:bCs/>
          <w:lang w:val="en-GB"/>
        </w:rPr>
        <w:t xml:space="preserve"> until the first </w:t>
      </w:r>
      <w:r w:rsidR="004F3620" w:rsidRPr="004F3620">
        <w:rPr>
          <w:bCs/>
          <w:lang w:val="en-GB"/>
        </w:rPr>
        <w:t xml:space="preserve">final </w:t>
      </w:r>
      <w:r w:rsidRPr="004F3620">
        <w:rPr>
          <w:bCs/>
          <w:lang w:val="en-GB"/>
        </w:rPr>
        <w:t xml:space="preserve">judgment </w:t>
      </w:r>
      <w:r w:rsidR="00FF74CA">
        <w:rPr>
          <w:bCs/>
          <w:lang w:val="en-GB"/>
        </w:rPr>
        <w:t xml:space="preserve">was issued </w:t>
      </w:r>
      <w:r w:rsidRPr="004F3620">
        <w:rPr>
          <w:bCs/>
          <w:lang w:val="en-GB"/>
        </w:rPr>
        <w:t>on the matter in 2000, the applicant</w:t>
      </w:r>
      <w:r w:rsidR="004F3620" w:rsidRPr="004F3620">
        <w:rPr>
          <w:bCs/>
          <w:lang w:val="en-GB"/>
        </w:rPr>
        <w:t xml:space="preserve"> companie</w:t>
      </w:r>
      <w:r w:rsidRPr="004F3620">
        <w:rPr>
          <w:bCs/>
          <w:lang w:val="en-GB"/>
        </w:rPr>
        <w:t xml:space="preserve">s could not have based themselves on any </w:t>
      </w:r>
      <w:r w:rsidR="00FF74CA">
        <w:rPr>
          <w:bCs/>
          <w:lang w:val="en-GB"/>
        </w:rPr>
        <w:t>case-law</w:t>
      </w:r>
      <w:r w:rsidR="00FF74CA" w:rsidRPr="004F3620">
        <w:rPr>
          <w:bCs/>
          <w:lang w:val="en-GB"/>
        </w:rPr>
        <w:t xml:space="preserve"> </w:t>
      </w:r>
      <w:r w:rsidR="004F3620" w:rsidRPr="004F3620">
        <w:rPr>
          <w:bCs/>
          <w:lang w:val="en-GB"/>
        </w:rPr>
        <w:t>in</w:t>
      </w:r>
      <w:r w:rsidRPr="004F3620">
        <w:rPr>
          <w:bCs/>
          <w:lang w:val="en-GB"/>
        </w:rPr>
        <w:t xml:space="preserve"> their favour. </w:t>
      </w:r>
      <w:r w:rsidR="00C00FE9" w:rsidRPr="004F3620">
        <w:rPr>
          <w:bCs/>
          <w:lang w:val="en-GB"/>
        </w:rPr>
        <w:t>Indeed</w:t>
      </w:r>
      <w:r w:rsidR="00C414A0">
        <w:rPr>
          <w:bCs/>
          <w:lang w:val="en-GB"/>
        </w:rPr>
        <w:t>,</w:t>
      </w:r>
      <w:r w:rsidR="00C00FE9" w:rsidRPr="004F3620">
        <w:rPr>
          <w:bCs/>
          <w:lang w:val="en-GB"/>
        </w:rPr>
        <w:t xml:space="preserve"> the Government noted that even in 2008 the </w:t>
      </w:r>
      <w:r w:rsidR="00C00FE9" w:rsidRPr="004F3620">
        <w:rPr>
          <w:lang w:val="en-GB"/>
        </w:rPr>
        <w:t>Court of Cassation (</w:t>
      </w:r>
      <w:r w:rsidR="00C00FE9" w:rsidRPr="004F3620">
        <w:rPr>
          <w:bCs/>
          <w:lang w:val="en-GB"/>
        </w:rPr>
        <w:t>judgment no. 21692) had considered that in the absence of an express provision one could not apply the cumula</w:t>
      </w:r>
      <w:r w:rsidR="004F3620" w:rsidRPr="004F3620">
        <w:rPr>
          <w:bCs/>
          <w:lang w:val="en-GB"/>
        </w:rPr>
        <w:t>bility</w:t>
      </w:r>
      <w:r w:rsidR="00C00FE9" w:rsidRPr="004F3620">
        <w:rPr>
          <w:bCs/>
          <w:lang w:val="en-GB"/>
        </w:rPr>
        <w:t xml:space="preserve"> of benefits and that </w:t>
      </w:r>
      <w:r w:rsidR="0076505C">
        <w:rPr>
          <w:bCs/>
          <w:lang w:val="en-GB"/>
        </w:rPr>
        <w:t>that conclusion</w:t>
      </w:r>
      <w:r w:rsidR="00C00FE9" w:rsidRPr="004F3620">
        <w:rPr>
          <w:bCs/>
          <w:lang w:val="en-GB"/>
        </w:rPr>
        <w:t xml:space="preserve"> could already </w:t>
      </w:r>
      <w:r w:rsidR="00FF74CA">
        <w:rPr>
          <w:bCs/>
          <w:lang w:val="en-GB"/>
        </w:rPr>
        <w:t xml:space="preserve">have </w:t>
      </w:r>
      <w:r w:rsidR="00C00FE9" w:rsidRPr="004F3620">
        <w:rPr>
          <w:bCs/>
          <w:lang w:val="en-GB"/>
        </w:rPr>
        <w:t>be</w:t>
      </w:r>
      <w:r w:rsidR="00FF74CA">
        <w:rPr>
          <w:bCs/>
          <w:lang w:val="en-GB"/>
        </w:rPr>
        <w:t>en</w:t>
      </w:r>
      <w:r w:rsidR="00C00FE9" w:rsidRPr="004F3620">
        <w:rPr>
          <w:bCs/>
          <w:lang w:val="en-GB"/>
        </w:rPr>
        <w:t xml:space="preserve"> arrived at in 1988. </w:t>
      </w:r>
      <w:r w:rsidR="006C5A7D" w:rsidRPr="004F3620">
        <w:rPr>
          <w:bCs/>
          <w:lang w:val="en-GB"/>
        </w:rPr>
        <w:t xml:space="preserve">It followed that the legislative intervention had </w:t>
      </w:r>
      <w:r w:rsidR="00C414A0">
        <w:rPr>
          <w:bCs/>
          <w:lang w:val="en-GB"/>
        </w:rPr>
        <w:t xml:space="preserve">had </w:t>
      </w:r>
      <w:r w:rsidR="006C5A7D" w:rsidRPr="004F3620">
        <w:rPr>
          <w:bCs/>
          <w:lang w:val="en-GB"/>
        </w:rPr>
        <w:t>no bearing on the applicant companies</w:t>
      </w:r>
      <w:r w:rsidR="00864D90">
        <w:rPr>
          <w:bCs/>
          <w:lang w:val="en-GB"/>
        </w:rPr>
        <w:t>’</w:t>
      </w:r>
      <w:r w:rsidR="006C5A7D" w:rsidRPr="004F3620">
        <w:rPr>
          <w:bCs/>
          <w:lang w:val="en-GB"/>
        </w:rPr>
        <w:t xml:space="preserve"> proceedings.</w:t>
      </w:r>
    </w:p>
    <w:p w:rsidR="004E593B" w:rsidRPr="004F3620" w:rsidRDefault="004E593B" w:rsidP="009B0194">
      <w:pPr>
        <w:pStyle w:val="ECHRPara"/>
        <w:rPr>
          <w:lang w:val="en-GB"/>
        </w:rPr>
      </w:pPr>
      <w:r w:rsidRPr="004F3620">
        <w:rPr>
          <w:bCs/>
          <w:lang w:val="en-GB"/>
        </w:rPr>
        <w:fldChar w:fldCharType="begin"/>
      </w:r>
      <w:r w:rsidRPr="004F3620">
        <w:rPr>
          <w:bCs/>
          <w:lang w:val="en-GB"/>
        </w:rPr>
        <w:instrText xml:space="preserve"> SEQ level0 \*arabic </w:instrText>
      </w:r>
      <w:r w:rsidRPr="004F3620">
        <w:rPr>
          <w:bCs/>
          <w:lang w:val="en-GB"/>
        </w:rPr>
        <w:fldChar w:fldCharType="separate"/>
      </w:r>
      <w:r w:rsidR="00D471CA">
        <w:rPr>
          <w:bCs/>
          <w:noProof/>
          <w:lang w:val="en-GB"/>
        </w:rPr>
        <w:t>73</w:t>
      </w:r>
      <w:r w:rsidRPr="004F3620">
        <w:rPr>
          <w:bCs/>
          <w:lang w:val="en-GB"/>
        </w:rPr>
        <w:fldChar w:fldCharType="end"/>
      </w:r>
      <w:r w:rsidRPr="004F3620">
        <w:rPr>
          <w:bCs/>
          <w:lang w:val="en-GB"/>
        </w:rPr>
        <w:t>.  As to the applicant companies</w:t>
      </w:r>
      <w:r w:rsidR="00864D90">
        <w:rPr>
          <w:bCs/>
          <w:lang w:val="en-GB"/>
        </w:rPr>
        <w:t>’</w:t>
      </w:r>
      <w:r w:rsidRPr="004F3620">
        <w:rPr>
          <w:bCs/>
          <w:lang w:val="en-GB"/>
        </w:rPr>
        <w:t xml:space="preserve"> reliance on </w:t>
      </w:r>
      <w:r w:rsidRPr="004F3620">
        <w:rPr>
          <w:szCs w:val="24"/>
          <w:lang w:val="en-GB"/>
        </w:rPr>
        <w:t xml:space="preserve">the </w:t>
      </w:r>
      <w:r w:rsidRPr="004F3620">
        <w:rPr>
          <w:lang w:val="en-GB"/>
        </w:rPr>
        <w:t xml:space="preserve">explanatory memorandum issued by the </w:t>
      </w:r>
      <w:r w:rsidR="00B87746" w:rsidRPr="004F3620">
        <w:rPr>
          <w:lang w:val="en-GB"/>
        </w:rPr>
        <w:t xml:space="preserve">Parliament </w:t>
      </w:r>
      <w:r w:rsidRPr="004F3620">
        <w:rPr>
          <w:lang w:val="en-GB"/>
        </w:rPr>
        <w:t>study service</w:t>
      </w:r>
      <w:r w:rsidR="00321657">
        <w:rPr>
          <w:lang w:val="en-GB"/>
        </w:rPr>
        <w:t>,</w:t>
      </w:r>
      <w:r w:rsidRPr="004F3620">
        <w:rPr>
          <w:lang w:val="en-GB"/>
        </w:rPr>
        <w:t xml:space="preserve"> the Government highlighted the </w:t>
      </w:r>
      <w:r w:rsidR="00C00FE9" w:rsidRPr="004F3620">
        <w:rPr>
          <w:lang w:val="en-GB"/>
        </w:rPr>
        <w:t>Court of Cassation</w:t>
      </w:r>
      <w:r w:rsidR="00864D90">
        <w:rPr>
          <w:lang w:val="en-GB"/>
        </w:rPr>
        <w:t>’</w:t>
      </w:r>
      <w:r w:rsidRPr="004F3620">
        <w:rPr>
          <w:lang w:val="en-GB"/>
        </w:rPr>
        <w:t xml:space="preserve">s conclusions </w:t>
      </w:r>
      <w:r w:rsidR="00C00FE9" w:rsidRPr="004F3620">
        <w:rPr>
          <w:lang w:val="en-GB"/>
        </w:rPr>
        <w:t>(</w:t>
      </w:r>
      <w:r w:rsidRPr="004F3620">
        <w:rPr>
          <w:bCs/>
          <w:lang w:val="en-GB"/>
        </w:rPr>
        <w:t>page 9</w:t>
      </w:r>
      <w:r w:rsidR="00870E85">
        <w:rPr>
          <w:bCs/>
          <w:lang w:val="en-GB"/>
        </w:rPr>
        <w:t xml:space="preserve"> of the judgment</w:t>
      </w:r>
      <w:r w:rsidRPr="004F3620">
        <w:rPr>
          <w:bCs/>
          <w:lang w:val="en-GB"/>
        </w:rPr>
        <w:t xml:space="preserve">) </w:t>
      </w:r>
      <w:r w:rsidR="00335FD8" w:rsidRPr="004F3620">
        <w:rPr>
          <w:lang w:val="en-GB"/>
        </w:rPr>
        <w:t xml:space="preserve">in that </w:t>
      </w:r>
      <w:r w:rsidR="004F3620" w:rsidRPr="004F3620">
        <w:rPr>
          <w:lang w:val="en-GB"/>
        </w:rPr>
        <w:t>respect</w:t>
      </w:r>
      <w:r w:rsidR="00321657">
        <w:rPr>
          <w:lang w:val="en-GB"/>
        </w:rPr>
        <w:t>,</w:t>
      </w:r>
      <w:r w:rsidR="004F3620" w:rsidRPr="004F3620">
        <w:rPr>
          <w:lang w:val="en-GB"/>
        </w:rPr>
        <w:t xml:space="preserve"> </w:t>
      </w:r>
      <w:r w:rsidR="00335FD8" w:rsidRPr="004F3620">
        <w:rPr>
          <w:lang w:val="en-GB"/>
        </w:rPr>
        <w:t>namely</w:t>
      </w:r>
      <w:r w:rsidR="004F3620" w:rsidRPr="004F3620">
        <w:rPr>
          <w:lang w:val="en-GB"/>
        </w:rPr>
        <w:t>,</w:t>
      </w:r>
      <w:r w:rsidR="00335FD8" w:rsidRPr="004F3620">
        <w:rPr>
          <w:lang w:val="en-GB"/>
        </w:rPr>
        <w:t xml:space="preserve"> that “</w:t>
      </w:r>
      <w:r w:rsidRPr="004F3620">
        <w:rPr>
          <w:lang w:val="en-GB"/>
        </w:rPr>
        <w:t xml:space="preserve">the document cannot be strictly attributed to the </w:t>
      </w:r>
      <w:r w:rsidR="00C414A0">
        <w:rPr>
          <w:lang w:val="en-GB"/>
        </w:rPr>
        <w:t>A</w:t>
      </w:r>
      <w:r w:rsidRPr="004F3620">
        <w:rPr>
          <w:lang w:val="en-GB"/>
        </w:rPr>
        <w:t xml:space="preserve">cts of </w:t>
      </w:r>
      <w:r w:rsidR="00C414A0">
        <w:rPr>
          <w:lang w:val="en-GB"/>
        </w:rPr>
        <w:t>P</w:t>
      </w:r>
      <w:r w:rsidRPr="004F3620">
        <w:rPr>
          <w:lang w:val="en-GB"/>
        </w:rPr>
        <w:t>arliament and the interpretive hypothesis</w:t>
      </w:r>
      <w:r w:rsidR="004A3B3A" w:rsidRPr="004F3620">
        <w:rPr>
          <w:b/>
          <w:bCs/>
          <w:lang w:val="en-GB"/>
        </w:rPr>
        <w:t xml:space="preserve"> </w:t>
      </w:r>
      <w:r w:rsidRPr="004F3620">
        <w:rPr>
          <w:lang w:val="en-GB"/>
        </w:rPr>
        <w:t xml:space="preserve">formulated therein </w:t>
      </w:r>
      <w:r w:rsidR="00321657" w:rsidRPr="004F3620">
        <w:rPr>
          <w:lang w:val="en-GB"/>
        </w:rPr>
        <w:t>d</w:t>
      </w:r>
      <w:r w:rsidR="00321657">
        <w:rPr>
          <w:lang w:val="en-GB"/>
        </w:rPr>
        <w:t>oes</w:t>
      </w:r>
      <w:r w:rsidR="00321657" w:rsidRPr="004F3620">
        <w:rPr>
          <w:lang w:val="en-GB"/>
        </w:rPr>
        <w:t xml:space="preserve"> </w:t>
      </w:r>
      <w:r w:rsidRPr="004F3620">
        <w:rPr>
          <w:lang w:val="en-GB"/>
        </w:rPr>
        <w:t xml:space="preserve">not reflect the opinion of the </w:t>
      </w:r>
      <w:r w:rsidR="004A3B3A" w:rsidRPr="004F3620">
        <w:rPr>
          <w:lang w:val="en-GB"/>
        </w:rPr>
        <w:t>members</w:t>
      </w:r>
      <w:r w:rsidRPr="004F3620">
        <w:rPr>
          <w:lang w:val="en-GB"/>
        </w:rPr>
        <w:t xml:space="preserve"> of </w:t>
      </w:r>
      <w:r w:rsidR="004A3B3A" w:rsidRPr="004F3620">
        <w:rPr>
          <w:lang w:val="en-GB"/>
        </w:rPr>
        <w:t>Parliament</w:t>
      </w:r>
      <w:r w:rsidRPr="004F3620">
        <w:rPr>
          <w:lang w:val="en-GB"/>
        </w:rPr>
        <w:t xml:space="preserve"> w</w:t>
      </w:r>
      <w:r w:rsidR="0076505C">
        <w:rPr>
          <w:lang w:val="en-GB"/>
        </w:rPr>
        <w:t>ho</w:t>
      </w:r>
      <w:r w:rsidR="004A3B3A" w:rsidRPr="004F3620">
        <w:rPr>
          <w:lang w:val="en-GB"/>
        </w:rPr>
        <w:t xml:space="preserve"> participate</w:t>
      </w:r>
      <w:r w:rsidRPr="004F3620">
        <w:rPr>
          <w:lang w:val="en-GB"/>
        </w:rPr>
        <w:t>d</w:t>
      </w:r>
      <w:r w:rsidR="004A3B3A" w:rsidRPr="004F3620">
        <w:rPr>
          <w:lang w:val="en-GB"/>
        </w:rPr>
        <w:t xml:space="preserve"> </w:t>
      </w:r>
      <w:r w:rsidRPr="004F3620">
        <w:rPr>
          <w:lang w:val="en-GB"/>
        </w:rPr>
        <w:t xml:space="preserve">in </w:t>
      </w:r>
      <w:r w:rsidR="004A3B3A" w:rsidRPr="004F3620">
        <w:rPr>
          <w:lang w:val="en-GB"/>
        </w:rPr>
        <w:t xml:space="preserve">the procedure </w:t>
      </w:r>
      <w:r w:rsidR="0076505C">
        <w:rPr>
          <w:lang w:val="en-GB"/>
        </w:rPr>
        <w:t>by which</w:t>
      </w:r>
      <w:r w:rsidR="004A3B3A" w:rsidRPr="004F3620">
        <w:rPr>
          <w:lang w:val="en-GB"/>
        </w:rPr>
        <w:t xml:space="preserve"> the law</w:t>
      </w:r>
      <w:r w:rsidR="0076505C">
        <w:rPr>
          <w:lang w:val="en-GB"/>
        </w:rPr>
        <w:t xml:space="preserve"> was adopted</w:t>
      </w:r>
      <w:r w:rsidR="004A3B3A" w:rsidRPr="004F3620">
        <w:rPr>
          <w:lang w:val="en-GB"/>
        </w:rPr>
        <w:t>”.</w:t>
      </w:r>
    </w:p>
    <w:p w:rsidR="00632A2E" w:rsidRDefault="00335FD8" w:rsidP="009B0194">
      <w:pPr>
        <w:pStyle w:val="ECHRPara"/>
        <w:rPr>
          <w:lang w:val="en-GB"/>
        </w:rPr>
      </w:pPr>
      <w:r w:rsidRPr="004F3620">
        <w:rPr>
          <w:lang w:val="en-GB"/>
        </w:rPr>
        <w:fldChar w:fldCharType="begin"/>
      </w:r>
      <w:r w:rsidRPr="004F3620">
        <w:rPr>
          <w:lang w:val="en-GB"/>
        </w:rPr>
        <w:instrText xml:space="preserve"> SEQ level0 \*arabic </w:instrText>
      </w:r>
      <w:r w:rsidRPr="004F3620">
        <w:rPr>
          <w:lang w:val="en-GB"/>
        </w:rPr>
        <w:fldChar w:fldCharType="separate"/>
      </w:r>
      <w:r w:rsidR="00D471CA">
        <w:rPr>
          <w:noProof/>
          <w:lang w:val="en-GB"/>
        </w:rPr>
        <w:t>74</w:t>
      </w:r>
      <w:r w:rsidRPr="004F3620">
        <w:rPr>
          <w:lang w:val="en-GB"/>
        </w:rPr>
        <w:fldChar w:fldCharType="end"/>
      </w:r>
      <w:r w:rsidRPr="004F3620">
        <w:rPr>
          <w:lang w:val="en-GB"/>
        </w:rPr>
        <w:t xml:space="preserve">.  The Government further submitted, at a late stage of the proceedings and only following further questions </w:t>
      </w:r>
      <w:r w:rsidR="00C414A0">
        <w:rPr>
          <w:lang w:val="en-GB"/>
        </w:rPr>
        <w:t>from</w:t>
      </w:r>
      <w:r w:rsidRPr="004F3620">
        <w:rPr>
          <w:lang w:val="en-GB"/>
        </w:rPr>
        <w:t xml:space="preserve"> the Court, that a strict interpretation concerning the cumula</w:t>
      </w:r>
      <w:r w:rsidR="004F3620" w:rsidRPr="004F3620">
        <w:rPr>
          <w:lang w:val="en-GB"/>
        </w:rPr>
        <w:t>bility</w:t>
      </w:r>
      <w:r w:rsidRPr="004F3620">
        <w:rPr>
          <w:lang w:val="en-GB"/>
        </w:rPr>
        <w:t xml:space="preserve"> of benefits was imposed by EU legislation concerning </w:t>
      </w:r>
      <w:r w:rsidR="00321657">
        <w:rPr>
          <w:lang w:val="en-GB"/>
        </w:rPr>
        <w:t>S</w:t>
      </w:r>
      <w:r w:rsidRPr="004F3620">
        <w:rPr>
          <w:lang w:val="en-GB"/>
        </w:rPr>
        <w:t>tate grants. They noted that in 1992 the European Commission had opened infringement proceedings against Italy concerning such benefits</w:t>
      </w:r>
      <w:r w:rsidR="00321657">
        <w:rPr>
          <w:lang w:val="en-GB"/>
        </w:rPr>
        <w:t>,</w:t>
      </w:r>
      <w:r w:rsidRPr="004F3620">
        <w:rPr>
          <w:lang w:val="en-GB"/>
        </w:rPr>
        <w:t xml:space="preserve"> which disproportiona</w:t>
      </w:r>
      <w:r w:rsidR="00C414A0">
        <w:rPr>
          <w:lang w:val="en-GB"/>
        </w:rPr>
        <w:t>te</w:t>
      </w:r>
      <w:r w:rsidRPr="004F3620">
        <w:rPr>
          <w:lang w:val="en-GB"/>
        </w:rPr>
        <w:t>ly favoured certain enterprises.</w:t>
      </w:r>
    </w:p>
    <w:p w:rsidR="00632A2E" w:rsidRDefault="00FC5987" w:rsidP="009B0194">
      <w:pPr>
        <w:pStyle w:val="ECHRPara"/>
        <w:rPr>
          <w:lang w:val="en-GB"/>
        </w:rPr>
      </w:pPr>
      <w:r>
        <w:rPr>
          <w:szCs w:val="24"/>
          <w:lang w:val="en-GB"/>
        </w:rPr>
        <w:fldChar w:fldCharType="begin"/>
      </w:r>
      <w:r>
        <w:rPr>
          <w:szCs w:val="24"/>
          <w:lang w:val="en-GB"/>
        </w:rPr>
        <w:instrText xml:space="preserve"> SEQ level0 \*arabic </w:instrText>
      </w:r>
      <w:r>
        <w:rPr>
          <w:szCs w:val="24"/>
          <w:lang w:val="en-GB"/>
        </w:rPr>
        <w:fldChar w:fldCharType="separate"/>
      </w:r>
      <w:r w:rsidR="00D471CA">
        <w:rPr>
          <w:noProof/>
          <w:szCs w:val="24"/>
          <w:lang w:val="en-GB"/>
        </w:rPr>
        <w:t>75</w:t>
      </w:r>
      <w:r>
        <w:rPr>
          <w:szCs w:val="24"/>
          <w:lang w:val="en-GB"/>
        </w:rPr>
        <w:fldChar w:fldCharType="end"/>
      </w:r>
      <w:r>
        <w:rPr>
          <w:szCs w:val="24"/>
          <w:lang w:val="en-GB"/>
        </w:rPr>
        <w:t>.  In reply to the applicant companies</w:t>
      </w:r>
      <w:r w:rsidR="00864D90">
        <w:rPr>
          <w:szCs w:val="24"/>
          <w:lang w:val="en-GB"/>
        </w:rPr>
        <w:t>’</w:t>
      </w:r>
      <w:r>
        <w:rPr>
          <w:szCs w:val="24"/>
          <w:lang w:val="en-GB"/>
        </w:rPr>
        <w:t xml:space="preserve"> observations, the Government submitted that while it was true that </w:t>
      </w:r>
      <w:r w:rsidR="006165BA">
        <w:rPr>
          <w:szCs w:val="24"/>
          <w:lang w:val="en-GB"/>
        </w:rPr>
        <w:t xml:space="preserve">at the time </w:t>
      </w:r>
      <w:r w:rsidR="00EA2AA9">
        <w:rPr>
          <w:szCs w:val="24"/>
          <w:lang w:val="en-GB"/>
        </w:rPr>
        <w:t xml:space="preserve">(2006) </w:t>
      </w:r>
      <w:r w:rsidR="006165BA">
        <w:rPr>
          <w:szCs w:val="24"/>
          <w:lang w:val="en-GB"/>
        </w:rPr>
        <w:t xml:space="preserve">the Constitutional Court </w:t>
      </w:r>
      <w:r w:rsidR="00321657">
        <w:rPr>
          <w:szCs w:val="24"/>
          <w:lang w:val="en-GB"/>
        </w:rPr>
        <w:t xml:space="preserve">had </w:t>
      </w:r>
      <w:r>
        <w:rPr>
          <w:szCs w:val="24"/>
          <w:lang w:val="en-GB"/>
        </w:rPr>
        <w:t>not take</w:t>
      </w:r>
      <w:r w:rsidR="00321657">
        <w:rPr>
          <w:szCs w:val="24"/>
          <w:lang w:val="en-GB"/>
        </w:rPr>
        <w:t>n</w:t>
      </w:r>
      <w:r>
        <w:rPr>
          <w:szCs w:val="24"/>
          <w:lang w:val="en-GB"/>
        </w:rPr>
        <w:t xml:space="preserve"> into consideration Article 6 of the Convention, the principles on which that </w:t>
      </w:r>
      <w:r w:rsidR="002F36EB">
        <w:rPr>
          <w:szCs w:val="24"/>
          <w:lang w:val="en-GB"/>
        </w:rPr>
        <w:t xml:space="preserve">court </w:t>
      </w:r>
      <w:r>
        <w:rPr>
          <w:szCs w:val="24"/>
          <w:lang w:val="en-GB"/>
        </w:rPr>
        <w:t>had based its judgment were fou</w:t>
      </w:r>
      <w:r w:rsidR="00920231">
        <w:rPr>
          <w:szCs w:val="24"/>
          <w:lang w:val="en-GB"/>
        </w:rPr>
        <w:t xml:space="preserve">nd in the Italian </w:t>
      </w:r>
      <w:r w:rsidR="00C414A0">
        <w:rPr>
          <w:szCs w:val="24"/>
          <w:lang w:val="en-GB"/>
        </w:rPr>
        <w:t>C</w:t>
      </w:r>
      <w:r w:rsidR="00920231">
        <w:rPr>
          <w:szCs w:val="24"/>
          <w:lang w:val="en-GB"/>
        </w:rPr>
        <w:t>onstitution</w:t>
      </w:r>
      <w:r>
        <w:rPr>
          <w:szCs w:val="24"/>
          <w:lang w:val="en-GB"/>
        </w:rPr>
        <w:t xml:space="preserve"> and were similar to </w:t>
      </w:r>
      <w:r w:rsidR="00321657">
        <w:rPr>
          <w:szCs w:val="24"/>
          <w:lang w:val="en-GB"/>
        </w:rPr>
        <w:t xml:space="preserve">the </w:t>
      </w:r>
      <w:r>
        <w:rPr>
          <w:szCs w:val="24"/>
          <w:lang w:val="en-GB"/>
        </w:rPr>
        <w:t xml:space="preserve">principles </w:t>
      </w:r>
      <w:r w:rsidR="00321657">
        <w:rPr>
          <w:szCs w:val="24"/>
          <w:lang w:val="en-GB"/>
        </w:rPr>
        <w:t>set out</w:t>
      </w:r>
      <w:r>
        <w:rPr>
          <w:szCs w:val="24"/>
          <w:lang w:val="en-GB"/>
        </w:rPr>
        <w:t xml:space="preserve"> in the Convention. Moreover, the Court</w:t>
      </w:r>
      <w:r w:rsidR="00864D90">
        <w:rPr>
          <w:szCs w:val="24"/>
          <w:lang w:val="en-GB"/>
        </w:rPr>
        <w:t>’</w:t>
      </w:r>
      <w:r>
        <w:rPr>
          <w:szCs w:val="24"/>
          <w:lang w:val="en-GB"/>
        </w:rPr>
        <w:t>s</w:t>
      </w:r>
      <w:r w:rsidR="002F36EB">
        <w:rPr>
          <w:szCs w:val="24"/>
          <w:lang w:val="en-GB"/>
        </w:rPr>
        <w:t xml:space="preserve"> </w:t>
      </w:r>
      <w:r w:rsidR="00321657">
        <w:rPr>
          <w:szCs w:val="24"/>
          <w:lang w:val="en-GB"/>
        </w:rPr>
        <w:t xml:space="preserve">case-law </w:t>
      </w:r>
      <w:r>
        <w:rPr>
          <w:szCs w:val="24"/>
          <w:lang w:val="en-GB"/>
        </w:rPr>
        <w:t>had not expressly excluded any intervention pending proceedings by the legislature, which was the same line of reasoning taken up by the Constitutional Court</w:t>
      </w:r>
      <w:r w:rsidR="006165BA">
        <w:rPr>
          <w:szCs w:val="24"/>
          <w:lang w:val="en-GB"/>
        </w:rPr>
        <w:t>,</w:t>
      </w:r>
      <w:r>
        <w:rPr>
          <w:szCs w:val="24"/>
          <w:lang w:val="en-GB"/>
        </w:rPr>
        <w:t xml:space="preserve"> </w:t>
      </w:r>
      <w:r w:rsidR="006165BA">
        <w:rPr>
          <w:szCs w:val="24"/>
          <w:lang w:val="en-GB"/>
        </w:rPr>
        <w:t xml:space="preserve">which </w:t>
      </w:r>
      <w:r>
        <w:rPr>
          <w:szCs w:val="24"/>
          <w:lang w:val="en-GB"/>
        </w:rPr>
        <w:t>had assessed whether compelling general</w:t>
      </w:r>
      <w:r w:rsidR="00C414A0">
        <w:rPr>
          <w:szCs w:val="24"/>
          <w:lang w:val="en-GB"/>
        </w:rPr>
        <w:t xml:space="preserve"> </w:t>
      </w:r>
      <w:r>
        <w:rPr>
          <w:szCs w:val="24"/>
          <w:lang w:val="en-GB"/>
        </w:rPr>
        <w:t xml:space="preserve">interest reasons </w:t>
      </w:r>
      <w:r w:rsidR="00870E85">
        <w:rPr>
          <w:szCs w:val="24"/>
          <w:lang w:val="en-GB"/>
        </w:rPr>
        <w:t xml:space="preserve">had existed </w:t>
      </w:r>
      <w:r>
        <w:rPr>
          <w:szCs w:val="24"/>
          <w:lang w:val="en-GB"/>
        </w:rPr>
        <w:t xml:space="preserve">and found that they </w:t>
      </w:r>
      <w:r w:rsidR="00870E85">
        <w:rPr>
          <w:szCs w:val="24"/>
          <w:lang w:val="en-GB"/>
        </w:rPr>
        <w:t>had</w:t>
      </w:r>
      <w:r>
        <w:rPr>
          <w:szCs w:val="24"/>
          <w:lang w:val="en-GB"/>
        </w:rPr>
        <w:t xml:space="preserve">. In conclusion, apart from financial reasons, the aim of </w:t>
      </w:r>
      <w:r w:rsidRPr="00DE1463">
        <w:rPr>
          <w:lang w:val="en-GB"/>
        </w:rPr>
        <w:t>Law no. 326</w:t>
      </w:r>
      <w:r w:rsidR="004F3620">
        <w:rPr>
          <w:lang w:val="en-GB"/>
        </w:rPr>
        <w:t>/</w:t>
      </w:r>
      <w:r>
        <w:rPr>
          <w:lang w:val="en-GB"/>
        </w:rPr>
        <w:t xml:space="preserve">03 </w:t>
      </w:r>
      <w:r w:rsidR="006165BA">
        <w:rPr>
          <w:lang w:val="en-GB"/>
        </w:rPr>
        <w:t xml:space="preserve">had been </w:t>
      </w:r>
      <w:r>
        <w:rPr>
          <w:lang w:val="en-GB"/>
        </w:rPr>
        <w:t>to ensure respect for the original intention of the legislator. It was not irrelevant that the subject matter in the case w</w:t>
      </w:r>
      <w:r w:rsidR="00920231">
        <w:rPr>
          <w:lang w:val="en-GB"/>
        </w:rPr>
        <w:t>as</w:t>
      </w:r>
      <w:r w:rsidR="009179EB">
        <w:rPr>
          <w:lang w:val="en-GB"/>
        </w:rPr>
        <w:t xml:space="preserve"> in fact benefits given by the S</w:t>
      </w:r>
      <w:r>
        <w:rPr>
          <w:lang w:val="en-GB"/>
        </w:rPr>
        <w:t xml:space="preserve">tate, whether cumulatively or alone, and it was therefore not unreasonable for the legislator to intervene in order to </w:t>
      </w:r>
      <w:r w:rsidR="00AD6F52">
        <w:rPr>
          <w:lang w:val="en-GB"/>
        </w:rPr>
        <w:t>clarify</w:t>
      </w:r>
      <w:r w:rsidR="00AD54E5">
        <w:rPr>
          <w:lang w:val="en-GB"/>
        </w:rPr>
        <w:t xml:space="preserve"> the applicable conditions for</w:t>
      </w:r>
      <w:r w:rsidR="00920231">
        <w:rPr>
          <w:lang w:val="en-GB"/>
        </w:rPr>
        <w:t xml:space="preserve"> the obtain</w:t>
      </w:r>
      <w:r w:rsidR="00C414A0">
        <w:rPr>
          <w:lang w:val="en-GB"/>
        </w:rPr>
        <w:t>ing</w:t>
      </w:r>
      <w:r w:rsidR="00920231">
        <w:rPr>
          <w:lang w:val="en-GB"/>
        </w:rPr>
        <w:t xml:space="preserve"> </w:t>
      </w:r>
      <w:r w:rsidR="009179EB">
        <w:rPr>
          <w:lang w:val="en-GB"/>
        </w:rPr>
        <w:t>of</w:t>
      </w:r>
      <w:r w:rsidR="00870E85">
        <w:rPr>
          <w:lang w:val="en-GB"/>
        </w:rPr>
        <w:t>,</w:t>
      </w:r>
      <w:r w:rsidR="009179EB">
        <w:rPr>
          <w:lang w:val="en-GB"/>
        </w:rPr>
        <w:t xml:space="preserve"> </w:t>
      </w:r>
      <w:r w:rsidR="00920231">
        <w:rPr>
          <w:lang w:val="en-GB"/>
        </w:rPr>
        <w:t>a</w:t>
      </w:r>
      <w:r w:rsidR="009179EB">
        <w:rPr>
          <w:lang w:val="en-GB"/>
        </w:rPr>
        <w:t>nd the limits</w:t>
      </w:r>
      <w:r w:rsidR="00920231">
        <w:rPr>
          <w:lang w:val="en-GB"/>
        </w:rPr>
        <w:t xml:space="preserve"> </w:t>
      </w:r>
      <w:r w:rsidR="009179EB">
        <w:rPr>
          <w:lang w:val="en-GB"/>
        </w:rPr>
        <w:t>to,</w:t>
      </w:r>
      <w:r w:rsidR="00AD54E5">
        <w:rPr>
          <w:lang w:val="en-GB"/>
        </w:rPr>
        <w:t xml:space="preserve"> such </w:t>
      </w:r>
      <w:r w:rsidR="001138A3">
        <w:rPr>
          <w:lang w:val="en-GB"/>
        </w:rPr>
        <w:t>benefits</w:t>
      </w:r>
      <w:r w:rsidR="00AD54E5">
        <w:rPr>
          <w:lang w:val="en-GB"/>
        </w:rPr>
        <w:t>.</w:t>
      </w:r>
    </w:p>
    <w:p w:rsidR="00632A2E" w:rsidRDefault="00553AB2" w:rsidP="009B0194">
      <w:pPr>
        <w:pStyle w:val="ECHRHeading3"/>
        <w:rPr>
          <w:lang w:val="en-GB"/>
        </w:rPr>
      </w:pPr>
      <w:r>
        <w:rPr>
          <w:lang w:val="en-GB"/>
        </w:rPr>
        <w:t>2.  </w:t>
      </w:r>
      <w:r w:rsidR="00BF255A" w:rsidRPr="00BF255A">
        <w:rPr>
          <w:lang w:val="en-GB"/>
        </w:rPr>
        <w:t>The Court</w:t>
      </w:r>
      <w:r w:rsidR="00864D90">
        <w:rPr>
          <w:lang w:val="en-GB"/>
        </w:rPr>
        <w:t>’</w:t>
      </w:r>
      <w:r w:rsidR="00BF255A" w:rsidRPr="00BF255A">
        <w:rPr>
          <w:lang w:val="en-GB"/>
        </w:rPr>
        <w:t>s assessment</w:t>
      </w:r>
    </w:p>
    <w:p w:rsidR="00BF255A" w:rsidRPr="00BF255A" w:rsidRDefault="00553AB2" w:rsidP="009B0194">
      <w:pPr>
        <w:pStyle w:val="ECHRHeading4"/>
        <w:rPr>
          <w:lang w:val="en-GB"/>
        </w:rPr>
      </w:pPr>
      <w:r>
        <w:rPr>
          <w:lang w:val="en-GB"/>
        </w:rPr>
        <w:t>(a)  </w:t>
      </w:r>
      <w:r w:rsidR="00BF255A" w:rsidRPr="00BF255A">
        <w:rPr>
          <w:lang w:val="en-GB"/>
        </w:rPr>
        <w:t>General principles</w:t>
      </w:r>
    </w:p>
    <w:p w:rsidR="00BF255A" w:rsidRPr="00B70A13" w:rsidRDefault="00BF255A" w:rsidP="009B0194">
      <w:pPr>
        <w:pStyle w:val="ECHRPara"/>
        <w:rPr>
          <w:lang w:val="en-GB"/>
        </w:rPr>
      </w:pPr>
      <w:r w:rsidRPr="00000403">
        <w:fldChar w:fldCharType="begin"/>
      </w:r>
      <w:r w:rsidRPr="000C52D5">
        <w:rPr>
          <w:lang w:val="en-GB"/>
        </w:rPr>
        <w:instrText xml:space="preserve"> SEQ level0 \*arabic </w:instrText>
      </w:r>
      <w:r w:rsidRPr="00000403">
        <w:fldChar w:fldCharType="separate"/>
      </w:r>
      <w:r w:rsidR="00D471CA">
        <w:rPr>
          <w:noProof/>
          <w:lang w:val="en-GB"/>
        </w:rPr>
        <w:t>76</w:t>
      </w:r>
      <w:r w:rsidRPr="00000403">
        <w:fldChar w:fldCharType="end"/>
      </w:r>
      <w:r w:rsidRPr="000C52D5">
        <w:rPr>
          <w:lang w:val="en-GB"/>
        </w:rPr>
        <w:t>.  </w:t>
      </w:r>
      <w:r w:rsidRPr="00BF255A">
        <w:rPr>
          <w:lang w:val="en-GB"/>
        </w:rPr>
        <w:t xml:space="preserve">The Court has repeatedly ruled that although the legislature is not prevented from regulating, through new retrospective provisions, rights derived from the laws in force, the principle of the rule of law and the notion of a fair trial enshrined in Article </w:t>
      </w:r>
      <w:bookmarkStart w:id="1" w:name="HIT30"/>
      <w:bookmarkEnd w:id="1"/>
      <w:r w:rsidRPr="00BF255A">
        <w:rPr>
          <w:bCs/>
          <w:lang w:val="en-GB"/>
        </w:rPr>
        <w:t>6</w:t>
      </w:r>
      <w:r w:rsidRPr="00BF255A">
        <w:rPr>
          <w:lang w:val="en-GB"/>
        </w:rPr>
        <w:t xml:space="preserve"> preclude, except for compelling public</w:t>
      </w:r>
      <w:r w:rsidR="00C414A0">
        <w:rPr>
          <w:lang w:val="en-GB"/>
        </w:rPr>
        <w:t xml:space="preserve"> </w:t>
      </w:r>
      <w:r w:rsidRPr="00BF255A">
        <w:rPr>
          <w:lang w:val="en-GB"/>
        </w:rPr>
        <w:t xml:space="preserve">interest reasons, interference by the legislature with the administration of justice designed to influence the judicial determination of a dispute (see, among many other authorities, </w:t>
      </w:r>
      <w:r w:rsidRPr="00BF255A">
        <w:rPr>
          <w:i/>
          <w:iCs/>
          <w:lang w:val="en-GB"/>
        </w:rPr>
        <w:t>Stran Greek Refineries and Stratis Andreadis v. Greece</w:t>
      </w:r>
      <w:r w:rsidRPr="00BF255A">
        <w:rPr>
          <w:lang w:val="en-GB"/>
        </w:rPr>
        <w:t xml:space="preserve">, 9 December 1994, § 49, Series A no. 301-B; </w:t>
      </w:r>
      <w:r w:rsidRPr="00BF255A">
        <w:rPr>
          <w:i/>
          <w:iCs/>
          <w:lang w:val="en-GB"/>
        </w:rPr>
        <w:t xml:space="preserve">National &amp; </w:t>
      </w:r>
      <w:bookmarkStart w:id="2" w:name="HIT31"/>
      <w:bookmarkEnd w:id="2"/>
      <w:r w:rsidRPr="00BF255A">
        <w:rPr>
          <w:bCs/>
          <w:i/>
          <w:iCs/>
          <w:lang w:val="en-GB"/>
        </w:rPr>
        <w:t>Provincial</w:t>
      </w:r>
      <w:r w:rsidRPr="00BF255A">
        <w:rPr>
          <w:i/>
          <w:iCs/>
          <w:lang w:val="en-GB"/>
        </w:rPr>
        <w:t xml:space="preserve"> </w:t>
      </w:r>
      <w:bookmarkStart w:id="3" w:name="HIT32"/>
      <w:bookmarkEnd w:id="3"/>
      <w:r w:rsidRPr="00BF255A">
        <w:rPr>
          <w:bCs/>
          <w:i/>
          <w:iCs/>
          <w:lang w:val="en-GB"/>
        </w:rPr>
        <w:t>Building</w:t>
      </w:r>
      <w:r w:rsidRPr="00BF255A">
        <w:rPr>
          <w:i/>
          <w:iCs/>
          <w:lang w:val="en-GB"/>
        </w:rPr>
        <w:t xml:space="preserve"> </w:t>
      </w:r>
      <w:bookmarkStart w:id="4" w:name="HIT33"/>
      <w:bookmarkEnd w:id="4"/>
      <w:r w:rsidRPr="00BF255A">
        <w:rPr>
          <w:bCs/>
          <w:i/>
          <w:iCs/>
          <w:lang w:val="en-GB"/>
        </w:rPr>
        <w:t>Society</w:t>
      </w:r>
      <w:r w:rsidRPr="00BF255A">
        <w:rPr>
          <w:i/>
          <w:iCs/>
          <w:lang w:val="en-GB"/>
        </w:rPr>
        <w:t>, Leeds Permanent Building Society and Yorkshire Building Society v. the United Kingdom</w:t>
      </w:r>
      <w:r w:rsidRPr="00BF255A">
        <w:rPr>
          <w:lang w:val="en-GB"/>
        </w:rPr>
        <w:t xml:space="preserve">, </w:t>
      </w:r>
      <w:r w:rsidR="00B27720">
        <w:rPr>
          <w:lang w:val="en-GB"/>
        </w:rPr>
        <w:t xml:space="preserve">cited above, </w:t>
      </w:r>
      <w:r w:rsidRPr="00BF255A">
        <w:rPr>
          <w:lang w:val="en-GB"/>
        </w:rPr>
        <w:t xml:space="preserve">§ 112; and </w:t>
      </w:r>
      <w:r w:rsidRPr="00BF255A">
        <w:rPr>
          <w:i/>
          <w:iCs/>
          <w:lang w:val="en-GB"/>
        </w:rPr>
        <w:t>Zielinski and Pradal and Gonzalez and Others v. France</w:t>
      </w:r>
      <w:r w:rsidRPr="00BF255A">
        <w:rPr>
          <w:lang w:val="en-GB"/>
        </w:rPr>
        <w:t xml:space="preserve"> [GC], </w:t>
      </w:r>
      <w:r w:rsidR="00553AB2">
        <w:rPr>
          <w:lang w:val="en-GB"/>
        </w:rPr>
        <w:t>nos. </w:t>
      </w:r>
      <w:r w:rsidRPr="00BF255A">
        <w:rPr>
          <w:lang w:val="en-GB"/>
        </w:rPr>
        <w:t xml:space="preserve">24846/94 and 34165/96 to 34173/96, § 57, ECHR 1999-VII). Respect for the rule of law and the notion of a fair trial require that any reasons adduced to justify such measures be treated with the </w:t>
      </w:r>
      <w:bookmarkStart w:id="5" w:name="HIT1"/>
      <w:bookmarkEnd w:id="5"/>
      <w:r w:rsidRPr="00BF255A">
        <w:rPr>
          <w:bCs/>
          <w:lang w:val="en-GB"/>
        </w:rPr>
        <w:t>greatest</w:t>
      </w:r>
      <w:r w:rsidRPr="00BF255A">
        <w:rPr>
          <w:lang w:val="en-GB"/>
        </w:rPr>
        <w:t xml:space="preserve"> </w:t>
      </w:r>
      <w:bookmarkStart w:id="6" w:name="HIT2"/>
      <w:bookmarkEnd w:id="6"/>
      <w:r w:rsidRPr="00BF255A">
        <w:rPr>
          <w:bCs/>
          <w:lang w:val="en-GB"/>
        </w:rPr>
        <w:t>possible</w:t>
      </w:r>
      <w:r w:rsidRPr="00BF255A">
        <w:rPr>
          <w:lang w:val="en-GB"/>
        </w:rPr>
        <w:t xml:space="preserve"> </w:t>
      </w:r>
      <w:bookmarkStart w:id="7" w:name="HIT3"/>
      <w:bookmarkEnd w:id="7"/>
      <w:r w:rsidRPr="00BF255A">
        <w:rPr>
          <w:bCs/>
          <w:lang w:val="en-GB"/>
        </w:rPr>
        <w:t>degree</w:t>
      </w:r>
      <w:r w:rsidRPr="00BF255A">
        <w:rPr>
          <w:lang w:val="en-GB"/>
        </w:rPr>
        <w:t xml:space="preserve"> of </w:t>
      </w:r>
      <w:bookmarkStart w:id="8" w:name="HIT4"/>
      <w:bookmarkEnd w:id="8"/>
      <w:r w:rsidRPr="00BF255A">
        <w:rPr>
          <w:bCs/>
          <w:lang w:val="en-GB"/>
        </w:rPr>
        <w:t>circumspection</w:t>
      </w:r>
      <w:r w:rsidRPr="00BF255A">
        <w:rPr>
          <w:lang w:val="en-GB"/>
        </w:rPr>
        <w:t xml:space="preserve"> (see </w:t>
      </w:r>
      <w:r w:rsidRPr="00BF255A">
        <w:rPr>
          <w:i/>
          <w:lang w:val="en-GB"/>
        </w:rPr>
        <w:t>Stran Greek Refineries</w:t>
      </w:r>
      <w:r w:rsidRPr="00BF255A">
        <w:rPr>
          <w:lang w:val="en-GB"/>
        </w:rPr>
        <w:t>, cited above, § 49</w:t>
      </w:r>
      <w:r w:rsidR="001138A3">
        <w:rPr>
          <w:lang w:val="en-GB"/>
        </w:rPr>
        <w:t>,</w:t>
      </w:r>
      <w:r>
        <w:rPr>
          <w:lang w:val="en-GB"/>
        </w:rPr>
        <w:t xml:space="preserve"> and </w:t>
      </w:r>
      <w:r w:rsidR="000C52D5" w:rsidRPr="00B668D2">
        <w:rPr>
          <w:i/>
          <w:lang w:val="en-GB"/>
        </w:rPr>
        <w:t>Maggio and Others v. Italy</w:t>
      </w:r>
      <w:r w:rsidR="000C52D5" w:rsidRPr="00B668D2">
        <w:rPr>
          <w:lang w:val="en-GB"/>
        </w:rPr>
        <w:t>, nos. 46286/09, 52851/08, 53727/08, 54486/08 and 56001/08</w:t>
      </w:r>
      <w:r w:rsidR="000C52D5">
        <w:rPr>
          <w:snapToGrid w:val="0"/>
          <w:szCs w:val="24"/>
          <w:lang w:val="en-GB"/>
        </w:rPr>
        <w:t>, § 45</w:t>
      </w:r>
      <w:r w:rsidR="000C52D5" w:rsidRPr="00B668D2">
        <w:rPr>
          <w:snapToGrid w:val="0"/>
          <w:szCs w:val="24"/>
          <w:lang w:val="en-GB"/>
        </w:rPr>
        <w:t>, 31 May 2011</w:t>
      </w:r>
      <w:r w:rsidRPr="00BF255A">
        <w:rPr>
          <w:lang w:val="en-GB"/>
        </w:rPr>
        <w:t>).</w:t>
      </w:r>
      <w:r w:rsidR="000C52D5" w:rsidRPr="000C52D5">
        <w:rPr>
          <w:lang w:val="en-GB"/>
        </w:rPr>
        <w:t xml:space="preserve"> </w:t>
      </w:r>
      <w:r w:rsidR="000C52D5">
        <w:rPr>
          <w:lang w:val="en-GB"/>
        </w:rPr>
        <w:t>F</w:t>
      </w:r>
      <w:r w:rsidR="000C52D5" w:rsidRPr="000C52D5">
        <w:rPr>
          <w:lang w:val="en-GB"/>
        </w:rPr>
        <w:t>inancial considerations cannot by themselves warrant the legislature substituting itself for the courts in order to settle disputes (see</w:t>
      </w:r>
      <w:r w:rsidR="000C52D5">
        <w:rPr>
          <w:lang w:val="en-GB"/>
        </w:rPr>
        <w:t xml:space="preserve"> </w:t>
      </w:r>
      <w:r w:rsidR="000C52D5" w:rsidRPr="000C52D5">
        <w:rPr>
          <w:i/>
          <w:szCs w:val="24"/>
          <w:lang w:val="en-GB" w:eastAsia="en-US"/>
        </w:rPr>
        <w:t xml:space="preserve">Scordino v. </w:t>
      </w:r>
      <w:r w:rsidR="000C52D5" w:rsidRPr="000C52D5">
        <w:rPr>
          <w:i/>
          <w:spacing w:val="-2"/>
          <w:szCs w:val="24"/>
          <w:lang w:val="en-GB" w:eastAsia="en-US"/>
        </w:rPr>
        <w:t>Italy (no. 1)</w:t>
      </w:r>
      <w:r w:rsidR="000C52D5" w:rsidRPr="000C52D5">
        <w:rPr>
          <w:szCs w:val="24"/>
          <w:lang w:val="en-GB" w:eastAsia="en-US"/>
        </w:rPr>
        <w:t xml:space="preserve"> [GC], no. 36813/97, § 132, ECHR 2006</w:t>
      </w:r>
      <w:r w:rsidR="000C52D5" w:rsidRPr="000C52D5">
        <w:rPr>
          <w:szCs w:val="24"/>
          <w:lang w:val="en-GB" w:eastAsia="en-US"/>
        </w:rPr>
        <w:noBreakHyphen/>
        <w:t xml:space="preserve">V, and </w:t>
      </w:r>
      <w:r w:rsidR="000C52D5" w:rsidRPr="000C52D5">
        <w:rPr>
          <w:i/>
          <w:szCs w:val="24"/>
          <w:lang w:val="en-GB" w:eastAsia="en-US"/>
        </w:rPr>
        <w:t>Cabourdin v. France</w:t>
      </w:r>
      <w:r w:rsidR="000C52D5" w:rsidRPr="000C52D5">
        <w:rPr>
          <w:szCs w:val="24"/>
          <w:lang w:val="en-GB" w:eastAsia="en-US"/>
        </w:rPr>
        <w:t>, no. 60796/00, § 37, 11 April 2006)</w:t>
      </w:r>
      <w:r w:rsidR="000C52D5" w:rsidRPr="000C52D5">
        <w:rPr>
          <w:lang w:val="en-GB"/>
        </w:rPr>
        <w:t>.</w:t>
      </w:r>
    </w:p>
    <w:p w:rsidR="00AD54E5" w:rsidRPr="00FC5987" w:rsidRDefault="00553AB2" w:rsidP="009B0194">
      <w:pPr>
        <w:pStyle w:val="ECHRHeading4"/>
        <w:rPr>
          <w:lang w:val="en-GB"/>
        </w:rPr>
      </w:pPr>
      <w:r>
        <w:rPr>
          <w:lang w:val="en-GB"/>
        </w:rPr>
        <w:t>(b)  </w:t>
      </w:r>
      <w:r w:rsidR="00BF255A" w:rsidRPr="00BF255A">
        <w:rPr>
          <w:lang w:val="en-GB"/>
        </w:rPr>
        <w:t>Application to the present case</w:t>
      </w:r>
    </w:p>
    <w:p w:rsidR="00F71A6A" w:rsidRPr="00B46173" w:rsidRDefault="00634F53" w:rsidP="009B0194">
      <w:pPr>
        <w:pStyle w:val="ECHRPara"/>
        <w:rPr>
          <w:lang w:val="en-GB"/>
        </w:rPr>
      </w:pPr>
      <w:r>
        <w:rPr>
          <w:lang w:val="en-GB"/>
        </w:rPr>
        <w:fldChar w:fldCharType="begin"/>
      </w:r>
      <w:r>
        <w:rPr>
          <w:lang w:val="en-GB"/>
        </w:rPr>
        <w:instrText xml:space="preserve"> SEQ level0 \*arabic </w:instrText>
      </w:r>
      <w:r>
        <w:rPr>
          <w:lang w:val="en-GB"/>
        </w:rPr>
        <w:fldChar w:fldCharType="separate"/>
      </w:r>
      <w:r w:rsidR="00D471CA">
        <w:rPr>
          <w:noProof/>
          <w:lang w:val="en-GB"/>
        </w:rPr>
        <w:t>77</w:t>
      </w:r>
      <w:r>
        <w:rPr>
          <w:lang w:val="en-GB"/>
        </w:rPr>
        <w:fldChar w:fldCharType="end"/>
      </w:r>
      <w:r w:rsidR="00F71A6A" w:rsidRPr="00B46173">
        <w:rPr>
          <w:lang w:val="en-GB"/>
        </w:rPr>
        <w:t xml:space="preserve">.  The Court </w:t>
      </w:r>
      <w:r w:rsidR="000C52D5">
        <w:rPr>
          <w:lang w:val="en-GB"/>
        </w:rPr>
        <w:t>notes</w:t>
      </w:r>
      <w:r w:rsidR="00F71A6A" w:rsidRPr="00B46173">
        <w:rPr>
          <w:lang w:val="en-GB"/>
        </w:rPr>
        <w:t xml:space="preserve"> that</w:t>
      </w:r>
      <w:r w:rsidR="0019316A">
        <w:rPr>
          <w:lang w:val="en-GB"/>
        </w:rPr>
        <w:t>, as shown by</w:t>
      </w:r>
      <w:r w:rsidR="002E72F6">
        <w:rPr>
          <w:lang w:val="en-GB"/>
        </w:rPr>
        <w:t xml:space="preserve"> the</w:t>
      </w:r>
      <w:r w:rsidR="0019316A">
        <w:rPr>
          <w:lang w:val="en-GB"/>
        </w:rPr>
        <w:t xml:space="preserve"> </w:t>
      </w:r>
      <w:r w:rsidR="002E72F6">
        <w:rPr>
          <w:lang w:val="en-GB"/>
        </w:rPr>
        <w:t>Court of Cassation</w:t>
      </w:r>
      <w:r w:rsidR="00864D90">
        <w:rPr>
          <w:lang w:val="en-GB"/>
        </w:rPr>
        <w:t>’</w:t>
      </w:r>
      <w:r w:rsidR="002C121E">
        <w:rPr>
          <w:lang w:val="en-GB"/>
        </w:rPr>
        <w:t>s</w:t>
      </w:r>
      <w:r w:rsidR="002E72F6">
        <w:rPr>
          <w:lang w:val="en-GB"/>
        </w:rPr>
        <w:t xml:space="preserve"> </w:t>
      </w:r>
      <w:r w:rsidR="0019316A">
        <w:rPr>
          <w:lang w:val="en-GB"/>
        </w:rPr>
        <w:t>judgments in the applicant companies</w:t>
      </w:r>
      <w:r w:rsidR="00864D90">
        <w:rPr>
          <w:lang w:val="en-GB"/>
        </w:rPr>
        <w:t>’</w:t>
      </w:r>
      <w:r w:rsidR="0019316A">
        <w:rPr>
          <w:lang w:val="en-GB"/>
        </w:rPr>
        <w:t xml:space="preserve"> proceedings,</w:t>
      </w:r>
      <w:r w:rsidR="00F71A6A" w:rsidRPr="00B46173">
        <w:rPr>
          <w:lang w:val="en-GB"/>
        </w:rPr>
        <w:t xml:space="preserve"> </w:t>
      </w:r>
      <w:r w:rsidR="000C52D5" w:rsidRPr="000C52D5">
        <w:rPr>
          <w:lang w:val="en-GB"/>
        </w:rPr>
        <w:t xml:space="preserve">the enactment of </w:t>
      </w:r>
      <w:r w:rsidR="000C52D5" w:rsidRPr="00DE1463">
        <w:rPr>
          <w:lang w:val="en-GB"/>
        </w:rPr>
        <w:t>Law no. 326</w:t>
      </w:r>
      <w:r w:rsidR="00564612">
        <w:rPr>
          <w:lang w:val="en-GB"/>
        </w:rPr>
        <w:t>/</w:t>
      </w:r>
      <w:r w:rsidR="000C52D5">
        <w:rPr>
          <w:lang w:val="en-GB"/>
        </w:rPr>
        <w:t>03</w:t>
      </w:r>
      <w:r w:rsidR="000C52D5" w:rsidRPr="000C52D5">
        <w:rPr>
          <w:lang w:val="en-GB"/>
        </w:rPr>
        <w:t xml:space="preserve">, while the proceedings were pending, in reality determined the substance of the disputes and the application of it by the </w:t>
      </w:r>
      <w:r w:rsidR="0019316A">
        <w:rPr>
          <w:lang w:val="en-GB"/>
        </w:rPr>
        <w:t xml:space="preserve">Court of Cassation </w:t>
      </w:r>
      <w:r w:rsidR="000C52D5" w:rsidRPr="000C52D5">
        <w:rPr>
          <w:lang w:val="en-GB"/>
        </w:rPr>
        <w:t xml:space="preserve">made it pointless </w:t>
      </w:r>
      <w:r w:rsidR="00CC1FAA">
        <w:rPr>
          <w:lang w:val="en-GB"/>
        </w:rPr>
        <w:t xml:space="preserve">for </w:t>
      </w:r>
      <w:r w:rsidR="000C52D5" w:rsidRPr="000C52D5">
        <w:rPr>
          <w:lang w:val="en-GB"/>
        </w:rPr>
        <w:t xml:space="preserve">an entire group of </w:t>
      </w:r>
      <w:r w:rsidR="0019316A">
        <w:rPr>
          <w:lang w:val="en-GB"/>
        </w:rPr>
        <w:t>companies</w:t>
      </w:r>
      <w:r w:rsidR="000C52D5" w:rsidRPr="000C52D5">
        <w:rPr>
          <w:lang w:val="en-GB"/>
        </w:rPr>
        <w:t xml:space="preserve"> in the applicant</w:t>
      </w:r>
      <w:r w:rsidR="00CC1FAA">
        <w:rPr>
          <w:lang w:val="en-GB"/>
        </w:rPr>
        <w:t xml:space="preserve"> companie</w:t>
      </w:r>
      <w:r w:rsidR="000C52D5" w:rsidRPr="000C52D5">
        <w:rPr>
          <w:lang w:val="en-GB"/>
        </w:rPr>
        <w:t>s</w:t>
      </w:r>
      <w:r w:rsidR="00864D90">
        <w:rPr>
          <w:lang w:val="en-GB"/>
        </w:rPr>
        <w:t>’</w:t>
      </w:r>
      <w:r w:rsidR="000C52D5" w:rsidRPr="000C52D5">
        <w:rPr>
          <w:lang w:val="en-GB"/>
        </w:rPr>
        <w:t xml:space="preserve"> positions to carry on with the litigation. Thus, the law had the effect of definitively modifying the outcome of the pending litigation, to which the State was a party,</w:t>
      </w:r>
      <w:r w:rsidR="00CC1FAA">
        <w:rPr>
          <w:lang w:val="en-GB"/>
        </w:rPr>
        <w:t xml:space="preserve"> through one of its administrative entities,</w:t>
      </w:r>
      <w:r w:rsidR="000C52D5" w:rsidRPr="000C52D5">
        <w:rPr>
          <w:lang w:val="en-GB"/>
        </w:rPr>
        <w:t xml:space="preserve"> endorsing the State</w:t>
      </w:r>
      <w:r w:rsidR="00864D90">
        <w:rPr>
          <w:lang w:val="en-GB"/>
        </w:rPr>
        <w:t>’</w:t>
      </w:r>
      <w:r w:rsidR="000C52D5" w:rsidRPr="000C52D5">
        <w:rPr>
          <w:lang w:val="en-GB"/>
        </w:rPr>
        <w:t>s position to the applicant</w:t>
      </w:r>
      <w:r w:rsidR="0019316A">
        <w:rPr>
          <w:lang w:val="en-GB"/>
        </w:rPr>
        <w:t xml:space="preserve"> companie</w:t>
      </w:r>
      <w:r w:rsidR="000C52D5" w:rsidRPr="000C52D5">
        <w:rPr>
          <w:lang w:val="en-GB"/>
        </w:rPr>
        <w:t>s</w:t>
      </w:r>
      <w:r w:rsidR="00864D90">
        <w:rPr>
          <w:lang w:val="en-GB"/>
        </w:rPr>
        <w:t>’</w:t>
      </w:r>
      <w:r w:rsidR="000C52D5" w:rsidRPr="000C52D5">
        <w:rPr>
          <w:lang w:val="en-GB"/>
        </w:rPr>
        <w:t xml:space="preserve"> detriment</w:t>
      </w:r>
      <w:r w:rsidR="002E72F6">
        <w:rPr>
          <w:lang w:val="en-GB"/>
        </w:rPr>
        <w:t>, despite the latter having been successful at first-instance and on appeal</w:t>
      </w:r>
      <w:r w:rsidR="000C52D5" w:rsidRPr="000C52D5">
        <w:rPr>
          <w:lang w:val="en-GB"/>
        </w:rPr>
        <w:t>.</w:t>
      </w:r>
    </w:p>
    <w:p w:rsidR="0019316A" w:rsidRDefault="00634F53" w:rsidP="009B0194">
      <w:pPr>
        <w:pStyle w:val="ECHRPara"/>
        <w:rPr>
          <w:lang w:val="en-GB"/>
        </w:rPr>
      </w:pPr>
      <w:r>
        <w:rPr>
          <w:lang w:val="en-GB"/>
        </w:rPr>
        <w:fldChar w:fldCharType="begin"/>
      </w:r>
      <w:r>
        <w:rPr>
          <w:lang w:val="en-GB"/>
        </w:rPr>
        <w:instrText xml:space="preserve"> SEQ level0 \*arabic </w:instrText>
      </w:r>
      <w:r>
        <w:rPr>
          <w:lang w:val="en-GB"/>
        </w:rPr>
        <w:fldChar w:fldCharType="separate"/>
      </w:r>
      <w:r w:rsidR="00D471CA">
        <w:rPr>
          <w:noProof/>
          <w:lang w:val="en-GB"/>
        </w:rPr>
        <w:t>78</w:t>
      </w:r>
      <w:r>
        <w:rPr>
          <w:lang w:val="en-GB"/>
        </w:rPr>
        <w:fldChar w:fldCharType="end"/>
      </w:r>
      <w:r w:rsidR="00F71A6A" w:rsidRPr="00B46173">
        <w:rPr>
          <w:lang w:val="en-GB"/>
        </w:rPr>
        <w:t xml:space="preserve">.  The Court </w:t>
      </w:r>
      <w:r w:rsidR="0019316A">
        <w:rPr>
          <w:lang w:val="en-GB"/>
        </w:rPr>
        <w:t>observes</w:t>
      </w:r>
      <w:r w:rsidR="00F71A6A" w:rsidRPr="00B46173">
        <w:rPr>
          <w:lang w:val="en-GB"/>
        </w:rPr>
        <w:t xml:space="preserve"> that </w:t>
      </w:r>
      <w:r w:rsidR="0019316A">
        <w:rPr>
          <w:lang w:val="en-GB"/>
        </w:rPr>
        <w:t xml:space="preserve">the Government claimed that the intervention was necessary on the basis of compelling </w:t>
      </w:r>
      <w:r w:rsidR="00D43E35">
        <w:rPr>
          <w:lang w:val="en-GB"/>
        </w:rPr>
        <w:t>general</w:t>
      </w:r>
      <w:r w:rsidR="00B27720">
        <w:rPr>
          <w:lang w:val="en-GB"/>
        </w:rPr>
        <w:t xml:space="preserve"> </w:t>
      </w:r>
      <w:r w:rsidR="00D43E35">
        <w:rPr>
          <w:lang w:val="en-GB"/>
        </w:rPr>
        <w:t xml:space="preserve">interest reasons. They </w:t>
      </w:r>
      <w:r w:rsidR="0019316A">
        <w:rPr>
          <w:lang w:val="en-GB"/>
        </w:rPr>
        <w:t>referred to</w:t>
      </w:r>
      <w:r w:rsidR="0038625A" w:rsidRPr="0038625A">
        <w:rPr>
          <w:szCs w:val="24"/>
          <w:lang w:val="en-GB"/>
        </w:rPr>
        <w:t xml:space="preserve"> </w:t>
      </w:r>
      <w:r w:rsidR="0038625A">
        <w:rPr>
          <w:lang w:val="en-GB"/>
        </w:rPr>
        <w:t>financial considerations</w:t>
      </w:r>
      <w:r w:rsidR="0038625A">
        <w:rPr>
          <w:szCs w:val="24"/>
          <w:lang w:val="en-GB"/>
        </w:rPr>
        <w:t xml:space="preserve"> and the necessity of establishing the original interpretation of the applicable legal norms,</w:t>
      </w:r>
      <w:r w:rsidR="0019316A">
        <w:rPr>
          <w:lang w:val="en-GB"/>
        </w:rPr>
        <w:t xml:space="preserve"> </w:t>
      </w:r>
      <w:r w:rsidR="0038625A">
        <w:rPr>
          <w:lang w:val="en-GB"/>
        </w:rPr>
        <w:t>and relied on the</w:t>
      </w:r>
      <w:r w:rsidR="0019316A">
        <w:rPr>
          <w:lang w:val="en-GB"/>
        </w:rPr>
        <w:t xml:space="preserve"> finding</w:t>
      </w:r>
      <w:r w:rsidR="0038625A">
        <w:rPr>
          <w:lang w:val="en-GB"/>
        </w:rPr>
        <w:t>s</w:t>
      </w:r>
      <w:r w:rsidR="0019316A">
        <w:rPr>
          <w:lang w:val="en-GB"/>
        </w:rPr>
        <w:t xml:space="preserve"> of the Constitutional Court on the matter.</w:t>
      </w:r>
      <w:r w:rsidR="0019316A" w:rsidRPr="0019316A">
        <w:rPr>
          <w:lang w:val="en-GB"/>
        </w:rPr>
        <w:t xml:space="preserve"> </w:t>
      </w:r>
      <w:r w:rsidR="0019316A">
        <w:rPr>
          <w:lang w:val="en-GB"/>
        </w:rPr>
        <w:t>The Court ob</w:t>
      </w:r>
      <w:r w:rsidR="00F65C0D">
        <w:rPr>
          <w:lang w:val="en-GB"/>
        </w:rPr>
        <w:t>serves that the Constitutional C</w:t>
      </w:r>
      <w:r w:rsidR="0019316A">
        <w:rPr>
          <w:lang w:val="en-GB"/>
        </w:rPr>
        <w:t xml:space="preserve">ourt considered the intervention necessary </w:t>
      </w:r>
      <w:r w:rsidR="0019316A" w:rsidRPr="00DE1463">
        <w:rPr>
          <w:lang w:val="en-GB"/>
        </w:rPr>
        <w:t xml:space="preserve">due to the uncertainty created by a </w:t>
      </w:r>
      <w:r w:rsidR="002C121E" w:rsidRPr="00DE1463">
        <w:rPr>
          <w:lang w:val="en-GB"/>
        </w:rPr>
        <w:t>cons</w:t>
      </w:r>
      <w:r w:rsidR="002C121E">
        <w:rPr>
          <w:lang w:val="en-GB"/>
        </w:rPr>
        <w:t>istent</w:t>
      </w:r>
      <w:r w:rsidR="002C121E" w:rsidRPr="00DE1463">
        <w:rPr>
          <w:lang w:val="en-GB"/>
        </w:rPr>
        <w:t xml:space="preserve"> </w:t>
      </w:r>
      <w:r w:rsidR="0019316A" w:rsidRPr="00DE1463">
        <w:rPr>
          <w:lang w:val="en-GB"/>
        </w:rPr>
        <w:t xml:space="preserve">administrative practice and supervening </w:t>
      </w:r>
      <w:r w:rsidR="002C121E">
        <w:rPr>
          <w:lang w:val="en-GB"/>
        </w:rPr>
        <w:t>case-law</w:t>
      </w:r>
      <w:r w:rsidR="002C121E" w:rsidRPr="00DE1463">
        <w:rPr>
          <w:lang w:val="en-GB"/>
        </w:rPr>
        <w:t xml:space="preserve"> </w:t>
      </w:r>
      <w:r w:rsidR="0019316A" w:rsidRPr="00DE1463">
        <w:rPr>
          <w:lang w:val="en-GB"/>
        </w:rPr>
        <w:t>to the contrary</w:t>
      </w:r>
      <w:r w:rsidR="0019316A">
        <w:rPr>
          <w:lang w:val="en-GB"/>
        </w:rPr>
        <w:t xml:space="preserve"> ten years later. It further considered that the law was not unreasonable since it had simply opted for</w:t>
      </w:r>
      <w:r w:rsidR="0019316A" w:rsidRPr="00DE1463">
        <w:rPr>
          <w:lang w:val="en-GB"/>
        </w:rPr>
        <w:t xml:space="preserve"> one of the possible meanings of the original text</w:t>
      </w:r>
      <w:r w:rsidR="0019316A">
        <w:rPr>
          <w:lang w:val="en-GB"/>
        </w:rPr>
        <w:t>.</w:t>
      </w:r>
    </w:p>
    <w:p w:rsidR="00632A2E" w:rsidRDefault="00F65C0D" w:rsidP="009B0194">
      <w:pPr>
        <w:pStyle w:val="ECHRPara"/>
        <w:rPr>
          <w:lang w:val="en-GB"/>
        </w:rPr>
      </w:pPr>
      <w:r>
        <w:rPr>
          <w:lang w:val="en-GB"/>
        </w:rPr>
        <w:fldChar w:fldCharType="begin"/>
      </w:r>
      <w:r>
        <w:rPr>
          <w:lang w:val="en-GB"/>
        </w:rPr>
        <w:instrText xml:space="preserve"> SEQ level0 \*arabic </w:instrText>
      </w:r>
      <w:r>
        <w:rPr>
          <w:lang w:val="en-GB"/>
        </w:rPr>
        <w:fldChar w:fldCharType="separate"/>
      </w:r>
      <w:r w:rsidR="00D471CA">
        <w:rPr>
          <w:noProof/>
          <w:lang w:val="en-GB"/>
        </w:rPr>
        <w:t>79</w:t>
      </w:r>
      <w:r>
        <w:rPr>
          <w:lang w:val="en-GB"/>
        </w:rPr>
        <w:fldChar w:fldCharType="end"/>
      </w:r>
      <w:r>
        <w:rPr>
          <w:lang w:val="en-GB"/>
        </w:rPr>
        <w:t>.  </w:t>
      </w:r>
      <w:r w:rsidRPr="007D35B4">
        <w:rPr>
          <w:lang w:val="en-GB"/>
        </w:rPr>
        <w:t xml:space="preserve">The Court </w:t>
      </w:r>
      <w:r w:rsidR="00A7636E" w:rsidRPr="007D35B4">
        <w:rPr>
          <w:lang w:val="en-GB"/>
        </w:rPr>
        <w:t xml:space="preserve">firstly </w:t>
      </w:r>
      <w:r w:rsidR="00695E76" w:rsidRPr="007D35B4">
        <w:rPr>
          <w:lang w:val="en-GB"/>
        </w:rPr>
        <w:t>observes</w:t>
      </w:r>
      <w:r w:rsidRPr="007D35B4">
        <w:rPr>
          <w:lang w:val="en-GB"/>
        </w:rPr>
        <w:t xml:space="preserve"> that </w:t>
      </w:r>
      <w:r w:rsidR="002C121E">
        <w:rPr>
          <w:lang w:val="en-GB"/>
        </w:rPr>
        <w:t>as early as</w:t>
      </w:r>
      <w:r w:rsidRPr="007D35B4">
        <w:rPr>
          <w:lang w:val="en-GB"/>
        </w:rPr>
        <w:t xml:space="preserve"> 1988</w:t>
      </w:r>
      <w:r w:rsidR="002C121E">
        <w:rPr>
          <w:lang w:val="en-GB"/>
        </w:rPr>
        <w:t>,</w:t>
      </w:r>
      <w:r w:rsidRPr="007D35B4">
        <w:rPr>
          <w:lang w:val="en-GB"/>
        </w:rPr>
        <w:t xml:space="preserve"> </w:t>
      </w:r>
      <w:r w:rsidR="002E72F6" w:rsidRPr="007D35B4">
        <w:rPr>
          <w:lang w:val="en-GB"/>
        </w:rPr>
        <w:t>when</w:t>
      </w:r>
      <w:r w:rsidRPr="007D35B4">
        <w:rPr>
          <w:lang w:val="en-GB"/>
        </w:rPr>
        <w:t xml:space="preserve"> the original law was promulgated</w:t>
      </w:r>
      <w:r w:rsidR="002C121E">
        <w:rPr>
          <w:lang w:val="en-GB"/>
        </w:rPr>
        <w:t>,</w:t>
      </w:r>
      <w:r w:rsidRPr="007D35B4">
        <w:rPr>
          <w:lang w:val="en-GB"/>
        </w:rPr>
        <w:t xml:space="preserve"> the INPS applied </w:t>
      </w:r>
      <w:r w:rsidR="002C121E">
        <w:rPr>
          <w:lang w:val="en-GB"/>
        </w:rPr>
        <w:t>the</w:t>
      </w:r>
      <w:r w:rsidR="002C121E" w:rsidRPr="007D35B4">
        <w:rPr>
          <w:lang w:val="en-GB"/>
        </w:rPr>
        <w:t xml:space="preserve"> </w:t>
      </w:r>
      <w:r w:rsidRPr="007D35B4">
        <w:rPr>
          <w:lang w:val="en-GB"/>
        </w:rPr>
        <w:t xml:space="preserve">interpretation of the law which was most favourable to it as the disbursing authority. </w:t>
      </w:r>
      <w:r w:rsidR="00CC1FAA" w:rsidRPr="007D35B4">
        <w:rPr>
          <w:lang w:val="en-GB"/>
        </w:rPr>
        <w:t>That law was not contested up until 1993</w:t>
      </w:r>
      <w:r w:rsidR="002C121E">
        <w:rPr>
          <w:lang w:val="en-GB"/>
        </w:rPr>
        <w:t>,</w:t>
      </w:r>
      <w:r w:rsidR="00CC1FAA" w:rsidRPr="007D35B4">
        <w:rPr>
          <w:lang w:val="en-GB"/>
        </w:rPr>
        <w:t xml:space="preserve"> when Floramiata Spa initiated its administrative requests</w:t>
      </w:r>
      <w:r w:rsidR="002C121E">
        <w:rPr>
          <w:lang w:val="en-GB"/>
        </w:rPr>
        <w:t>, which were</w:t>
      </w:r>
      <w:r w:rsidR="00CC1FAA" w:rsidRPr="007D35B4">
        <w:rPr>
          <w:lang w:val="en-GB"/>
        </w:rPr>
        <w:t xml:space="preserve"> followed by judicial proceedings. The first judgment on the matter was delivered in 1</w:t>
      </w:r>
      <w:r w:rsidR="00C632BB" w:rsidRPr="007D35B4">
        <w:rPr>
          <w:lang w:val="en-GB"/>
        </w:rPr>
        <w:t>996 and found in favour of the a</w:t>
      </w:r>
      <w:r w:rsidR="00CC1FAA" w:rsidRPr="007D35B4">
        <w:rPr>
          <w:lang w:val="en-GB"/>
        </w:rPr>
        <w:t xml:space="preserve">gricultural firms. </w:t>
      </w:r>
      <w:r w:rsidR="002C121E">
        <w:rPr>
          <w:lang w:val="en-GB"/>
        </w:rPr>
        <w:t>After it was upheld</w:t>
      </w:r>
      <w:r w:rsidR="00CC1FAA" w:rsidRPr="007D35B4">
        <w:rPr>
          <w:lang w:val="en-GB"/>
        </w:rPr>
        <w:t xml:space="preserve"> on appeal</w:t>
      </w:r>
      <w:r w:rsidR="00C632BB" w:rsidRPr="007D35B4">
        <w:rPr>
          <w:lang w:val="en-GB"/>
        </w:rPr>
        <w:t>,</w:t>
      </w:r>
      <w:r w:rsidR="00CC1FAA" w:rsidRPr="007D35B4">
        <w:rPr>
          <w:lang w:val="en-GB"/>
        </w:rPr>
        <w:t xml:space="preserve"> that judgment became final in 2000 </w:t>
      </w:r>
      <w:r w:rsidR="00D40FB9" w:rsidRPr="007D35B4">
        <w:rPr>
          <w:lang w:val="en-GB"/>
        </w:rPr>
        <w:t>by means of</w:t>
      </w:r>
      <w:r w:rsidR="00CC1FAA" w:rsidRPr="007D35B4">
        <w:rPr>
          <w:lang w:val="en-GB"/>
        </w:rPr>
        <w:t xml:space="preserve"> the Court of Cassation</w:t>
      </w:r>
      <w:r w:rsidR="00864D90">
        <w:rPr>
          <w:lang w:val="en-GB"/>
        </w:rPr>
        <w:t>’</w:t>
      </w:r>
      <w:r w:rsidR="00CC1FAA" w:rsidRPr="007D35B4">
        <w:rPr>
          <w:lang w:val="en-GB"/>
        </w:rPr>
        <w:t>s pronouncement. Subsequent to those judgments</w:t>
      </w:r>
      <w:r w:rsidR="00564612" w:rsidRPr="007D35B4">
        <w:rPr>
          <w:lang w:val="en-GB"/>
        </w:rPr>
        <w:t>,</w:t>
      </w:r>
      <w:r w:rsidR="00CC1FAA" w:rsidRPr="007D35B4">
        <w:rPr>
          <w:lang w:val="en-GB"/>
        </w:rPr>
        <w:t xml:space="preserve"> </w:t>
      </w:r>
      <w:r w:rsidR="005944F3">
        <w:rPr>
          <w:lang w:val="en-GB"/>
        </w:rPr>
        <w:t>numerous</w:t>
      </w:r>
      <w:r w:rsidR="00CC1FAA" w:rsidRPr="007D35B4">
        <w:rPr>
          <w:lang w:val="en-GB"/>
        </w:rPr>
        <w:t xml:space="preserve"> courts determined similar cases (as shown from the materials submitted by the applicant companies) reiterating the same findings.</w:t>
      </w:r>
    </w:p>
    <w:p w:rsidR="00632A2E" w:rsidRDefault="00564612" w:rsidP="009B0194">
      <w:pPr>
        <w:pStyle w:val="ECHRPara"/>
        <w:rPr>
          <w:highlight w:val="yellow"/>
          <w:lang w:val="en-GB"/>
        </w:rPr>
      </w:pPr>
      <w:r w:rsidRPr="007D35B4">
        <w:rPr>
          <w:lang w:val="en-GB"/>
        </w:rPr>
        <w:fldChar w:fldCharType="begin"/>
      </w:r>
      <w:r w:rsidRPr="007D35B4">
        <w:rPr>
          <w:lang w:val="en-GB"/>
        </w:rPr>
        <w:instrText xml:space="preserve"> SEQ level0 \*arabic </w:instrText>
      </w:r>
      <w:r w:rsidRPr="007D35B4">
        <w:rPr>
          <w:lang w:val="en-GB"/>
        </w:rPr>
        <w:fldChar w:fldCharType="separate"/>
      </w:r>
      <w:r w:rsidR="00D471CA">
        <w:rPr>
          <w:noProof/>
          <w:lang w:val="en-GB"/>
        </w:rPr>
        <w:t>80</w:t>
      </w:r>
      <w:r w:rsidRPr="007D35B4">
        <w:rPr>
          <w:lang w:val="en-GB"/>
        </w:rPr>
        <w:fldChar w:fldCharType="end"/>
      </w:r>
      <w:r w:rsidRPr="007D35B4">
        <w:rPr>
          <w:lang w:val="en-GB"/>
        </w:rPr>
        <w:t>.  </w:t>
      </w:r>
      <w:r w:rsidR="00B27720">
        <w:rPr>
          <w:lang w:val="en-GB"/>
        </w:rPr>
        <w:t>C</w:t>
      </w:r>
      <w:r w:rsidR="00D74594" w:rsidRPr="007D35B4">
        <w:rPr>
          <w:lang w:val="en-GB"/>
        </w:rPr>
        <w:t>onsider</w:t>
      </w:r>
      <w:r w:rsidR="00B27720">
        <w:rPr>
          <w:lang w:val="en-GB"/>
        </w:rPr>
        <w:t>ing</w:t>
      </w:r>
      <w:r w:rsidR="00D74594" w:rsidRPr="007D35B4">
        <w:rPr>
          <w:lang w:val="en-GB"/>
        </w:rPr>
        <w:t xml:space="preserve"> </w:t>
      </w:r>
      <w:r w:rsidR="00A7636E" w:rsidRPr="007D35B4">
        <w:rPr>
          <w:lang w:val="en-GB"/>
        </w:rPr>
        <w:t xml:space="preserve">the explanations given by those courts, it </w:t>
      </w:r>
      <w:r w:rsidR="00F867C4" w:rsidRPr="007D35B4">
        <w:rPr>
          <w:lang w:val="en-GB"/>
        </w:rPr>
        <w:t xml:space="preserve">can </w:t>
      </w:r>
      <w:r w:rsidRPr="007D35B4">
        <w:rPr>
          <w:lang w:val="en-GB"/>
        </w:rPr>
        <w:t>hardly</w:t>
      </w:r>
      <w:r w:rsidR="00F867C4" w:rsidRPr="007D35B4">
        <w:rPr>
          <w:lang w:val="en-GB"/>
        </w:rPr>
        <w:t xml:space="preserve"> be said</w:t>
      </w:r>
      <w:r w:rsidR="00A7636E" w:rsidRPr="007D35B4">
        <w:rPr>
          <w:lang w:val="en-GB"/>
        </w:rPr>
        <w:t xml:space="preserve"> that the legislator</w:t>
      </w:r>
      <w:r w:rsidR="00864D90">
        <w:rPr>
          <w:lang w:val="en-GB"/>
        </w:rPr>
        <w:t>’</w:t>
      </w:r>
      <w:r w:rsidR="00A7636E" w:rsidRPr="007D35B4">
        <w:rPr>
          <w:lang w:val="en-GB"/>
        </w:rPr>
        <w:t xml:space="preserve">s intention </w:t>
      </w:r>
      <w:r w:rsidR="00C632BB" w:rsidRPr="007D35B4">
        <w:rPr>
          <w:lang w:val="en-GB"/>
        </w:rPr>
        <w:t xml:space="preserve">back in 1988 </w:t>
      </w:r>
      <w:r w:rsidR="00A7636E" w:rsidRPr="007D35B4">
        <w:rPr>
          <w:lang w:val="en-GB"/>
        </w:rPr>
        <w:t xml:space="preserve">was </w:t>
      </w:r>
      <w:r w:rsidR="00F867C4" w:rsidRPr="007D35B4">
        <w:rPr>
          <w:lang w:val="en-GB"/>
        </w:rPr>
        <w:t>questionable, let alone</w:t>
      </w:r>
      <w:r w:rsidR="00A7636E" w:rsidRPr="007D35B4">
        <w:rPr>
          <w:lang w:val="en-GB"/>
        </w:rPr>
        <w:t xml:space="preserve"> evident</w:t>
      </w:r>
      <w:r w:rsidR="00F867C4" w:rsidRPr="007D35B4">
        <w:rPr>
          <w:lang w:val="en-GB"/>
        </w:rPr>
        <w:t>ly to the contrary</w:t>
      </w:r>
      <w:r w:rsidR="00A7636E" w:rsidRPr="007D35B4">
        <w:rPr>
          <w:lang w:val="en-GB"/>
        </w:rPr>
        <w:t xml:space="preserve">. </w:t>
      </w:r>
      <w:r w:rsidR="00D74594" w:rsidRPr="007D35B4">
        <w:rPr>
          <w:lang w:val="en-GB"/>
        </w:rPr>
        <w:t xml:space="preserve">Indeed, the Government have not provided any examples of case-law </w:t>
      </w:r>
      <w:r w:rsidR="0090484C" w:rsidRPr="007D35B4">
        <w:rPr>
          <w:lang w:val="en-GB"/>
        </w:rPr>
        <w:t xml:space="preserve">finding otherwise </w:t>
      </w:r>
      <w:r w:rsidR="00D74594" w:rsidRPr="007D35B4">
        <w:rPr>
          <w:lang w:val="en-GB"/>
        </w:rPr>
        <w:t xml:space="preserve">or of any objections </w:t>
      </w:r>
      <w:r w:rsidR="00D43E35" w:rsidRPr="007D35B4">
        <w:rPr>
          <w:lang w:val="en-GB"/>
        </w:rPr>
        <w:t xml:space="preserve">by </w:t>
      </w:r>
      <w:r w:rsidRPr="007D35B4">
        <w:rPr>
          <w:lang w:val="en-GB"/>
        </w:rPr>
        <w:t>the executive</w:t>
      </w:r>
      <w:r w:rsidR="00D43E35" w:rsidRPr="007D35B4">
        <w:rPr>
          <w:lang w:val="en-GB"/>
        </w:rPr>
        <w:t xml:space="preserve"> </w:t>
      </w:r>
      <w:r w:rsidR="00D74594" w:rsidRPr="007D35B4">
        <w:rPr>
          <w:lang w:val="en-GB"/>
        </w:rPr>
        <w:t xml:space="preserve">to </w:t>
      </w:r>
      <w:r w:rsidR="00D43E35" w:rsidRPr="007D35B4">
        <w:rPr>
          <w:lang w:val="en-GB"/>
        </w:rPr>
        <w:t>the recurr</w:t>
      </w:r>
      <w:r w:rsidR="00B27720">
        <w:rPr>
          <w:lang w:val="en-GB"/>
        </w:rPr>
        <w:t>e</w:t>
      </w:r>
      <w:r w:rsidR="00D43E35" w:rsidRPr="007D35B4">
        <w:rPr>
          <w:lang w:val="en-GB"/>
        </w:rPr>
        <w:t>n</w:t>
      </w:r>
      <w:r w:rsidR="00B27720">
        <w:rPr>
          <w:lang w:val="en-GB"/>
        </w:rPr>
        <w:t>t</w:t>
      </w:r>
      <w:r w:rsidR="00D74594" w:rsidRPr="007D35B4">
        <w:rPr>
          <w:lang w:val="en-GB"/>
        </w:rPr>
        <w:t xml:space="preserve"> in</w:t>
      </w:r>
      <w:r w:rsidR="0090484C" w:rsidRPr="007D35B4">
        <w:rPr>
          <w:lang w:val="en-GB"/>
        </w:rPr>
        <w:t xml:space="preserve">terpretation </w:t>
      </w:r>
      <w:r w:rsidR="00D43E35" w:rsidRPr="007D35B4">
        <w:rPr>
          <w:lang w:val="en-GB"/>
        </w:rPr>
        <w:t xml:space="preserve">given by the domestic courts </w:t>
      </w:r>
      <w:r w:rsidR="0090484C" w:rsidRPr="007D35B4">
        <w:rPr>
          <w:lang w:val="en-GB"/>
        </w:rPr>
        <w:t>prior to</w:t>
      </w:r>
      <w:r w:rsidRPr="007D35B4">
        <w:rPr>
          <w:lang w:val="en-GB"/>
        </w:rPr>
        <w:t xml:space="preserve"> the enactment of Law no. 326/</w:t>
      </w:r>
      <w:r w:rsidR="0090484C" w:rsidRPr="007D35B4">
        <w:rPr>
          <w:lang w:val="en-GB"/>
        </w:rPr>
        <w:t xml:space="preserve">03. While it is true that </w:t>
      </w:r>
      <w:r w:rsidR="00D74594" w:rsidRPr="007D35B4">
        <w:rPr>
          <w:lang w:val="en-GB"/>
        </w:rPr>
        <w:t>the Court of Cassation</w:t>
      </w:r>
      <w:r w:rsidR="00864D90">
        <w:rPr>
          <w:lang w:val="en-GB"/>
        </w:rPr>
        <w:t>’</w:t>
      </w:r>
      <w:r w:rsidR="00D74594" w:rsidRPr="007D35B4">
        <w:rPr>
          <w:lang w:val="en-GB"/>
        </w:rPr>
        <w:t>s fi</w:t>
      </w:r>
      <w:r w:rsidRPr="007D35B4">
        <w:rPr>
          <w:lang w:val="en-GB"/>
        </w:rPr>
        <w:t>ndings in 2008 (see paragraph 57</w:t>
      </w:r>
      <w:r w:rsidR="00D74594" w:rsidRPr="007D35B4">
        <w:rPr>
          <w:lang w:val="en-GB"/>
        </w:rPr>
        <w:t xml:space="preserve"> above) </w:t>
      </w:r>
      <w:r w:rsidR="0090484C" w:rsidRPr="007D35B4">
        <w:rPr>
          <w:lang w:val="en-GB"/>
        </w:rPr>
        <w:t>held otherwise</w:t>
      </w:r>
      <w:r w:rsidR="008C781F" w:rsidRPr="007D35B4">
        <w:rPr>
          <w:lang w:val="en-GB"/>
        </w:rPr>
        <w:t xml:space="preserve"> (reversing therefore its own </w:t>
      </w:r>
      <w:r w:rsidR="00513132">
        <w:rPr>
          <w:lang w:val="en-GB"/>
        </w:rPr>
        <w:t>case-law</w:t>
      </w:r>
      <w:r w:rsidR="008C781F" w:rsidRPr="007D35B4">
        <w:rPr>
          <w:lang w:val="en-GB"/>
        </w:rPr>
        <w:t>)</w:t>
      </w:r>
      <w:r w:rsidR="0090484C" w:rsidRPr="007D35B4">
        <w:rPr>
          <w:lang w:val="en-GB"/>
        </w:rPr>
        <w:t>, such findings were su</w:t>
      </w:r>
      <w:r w:rsidR="00695E76" w:rsidRPr="007D35B4">
        <w:rPr>
          <w:lang w:val="en-GB"/>
        </w:rPr>
        <w:t>bsequent to the enactment of that</w:t>
      </w:r>
      <w:r w:rsidR="0090484C" w:rsidRPr="007D35B4">
        <w:rPr>
          <w:lang w:val="en-GB"/>
        </w:rPr>
        <w:t xml:space="preserve"> law</w:t>
      </w:r>
      <w:r w:rsidR="00D43E35" w:rsidRPr="007D35B4">
        <w:rPr>
          <w:lang w:val="en-GB"/>
        </w:rPr>
        <w:t xml:space="preserve"> and </w:t>
      </w:r>
      <w:r w:rsidR="00513132" w:rsidRPr="007D35B4">
        <w:rPr>
          <w:lang w:val="en-GB"/>
        </w:rPr>
        <w:t xml:space="preserve">can </w:t>
      </w:r>
      <w:r w:rsidR="00D43E35" w:rsidRPr="007D35B4">
        <w:rPr>
          <w:lang w:val="en-GB"/>
        </w:rPr>
        <w:t xml:space="preserve">therefore </w:t>
      </w:r>
      <w:r w:rsidR="006E0D61">
        <w:rPr>
          <w:lang w:val="en-GB"/>
        </w:rPr>
        <w:t xml:space="preserve">only </w:t>
      </w:r>
      <w:r w:rsidR="00D43E35" w:rsidRPr="007D35B4">
        <w:rPr>
          <w:lang w:val="en-GB"/>
        </w:rPr>
        <w:t>be of limited relevance</w:t>
      </w:r>
      <w:r w:rsidR="008C781F" w:rsidRPr="007D35B4">
        <w:rPr>
          <w:lang w:val="en-GB"/>
        </w:rPr>
        <w:t>.</w:t>
      </w:r>
    </w:p>
    <w:p w:rsidR="00632A2E" w:rsidRDefault="00F65C0D" w:rsidP="009B0194">
      <w:pPr>
        <w:pStyle w:val="ECHRPara"/>
        <w:rPr>
          <w:lang w:val="en-GB"/>
        </w:rPr>
      </w:pPr>
      <w:r>
        <w:rPr>
          <w:lang w:val="en-GB"/>
        </w:rPr>
        <w:fldChar w:fldCharType="begin"/>
      </w:r>
      <w:r>
        <w:rPr>
          <w:lang w:val="en-GB"/>
        </w:rPr>
        <w:instrText xml:space="preserve"> SEQ level0 \*arabic </w:instrText>
      </w:r>
      <w:r>
        <w:rPr>
          <w:lang w:val="en-GB"/>
        </w:rPr>
        <w:fldChar w:fldCharType="separate"/>
      </w:r>
      <w:r w:rsidR="00D471CA">
        <w:rPr>
          <w:noProof/>
          <w:lang w:val="en-GB"/>
        </w:rPr>
        <w:t>81</w:t>
      </w:r>
      <w:r>
        <w:rPr>
          <w:lang w:val="en-GB"/>
        </w:rPr>
        <w:fldChar w:fldCharType="end"/>
      </w:r>
      <w:r>
        <w:rPr>
          <w:lang w:val="en-GB"/>
        </w:rPr>
        <w:t>.  </w:t>
      </w:r>
      <w:r w:rsidR="00A7636E">
        <w:rPr>
          <w:lang w:val="en-GB"/>
        </w:rPr>
        <w:t>Nevertheless, t</w:t>
      </w:r>
      <w:r>
        <w:rPr>
          <w:lang w:val="en-GB"/>
        </w:rPr>
        <w:t xml:space="preserve">he Court considers that even assuming that </w:t>
      </w:r>
      <w:r w:rsidRPr="00DE1463">
        <w:rPr>
          <w:lang w:val="en-GB"/>
        </w:rPr>
        <w:t xml:space="preserve">Law </w:t>
      </w:r>
      <w:r w:rsidR="00553AB2">
        <w:rPr>
          <w:lang w:val="en-GB"/>
        </w:rPr>
        <w:t>no. </w:t>
      </w:r>
      <w:r w:rsidRPr="00DE1463">
        <w:rPr>
          <w:lang w:val="en-GB"/>
        </w:rPr>
        <w:t>326</w:t>
      </w:r>
      <w:r w:rsidR="00564612">
        <w:rPr>
          <w:lang w:val="en-GB"/>
        </w:rPr>
        <w:t>/</w:t>
      </w:r>
      <w:r>
        <w:rPr>
          <w:lang w:val="en-GB"/>
        </w:rPr>
        <w:t>03</w:t>
      </w:r>
      <w:r w:rsidR="00D36DD7">
        <w:rPr>
          <w:lang w:val="en-GB"/>
        </w:rPr>
        <w:t xml:space="preserve"> was indeed interpretative in nature, and reinforced the original intention of the legislator </w:t>
      </w:r>
      <w:r w:rsidR="005944F3">
        <w:rPr>
          <w:lang w:val="en-GB"/>
        </w:rPr>
        <w:t>–</w:t>
      </w:r>
      <w:r w:rsidR="00D36DD7">
        <w:rPr>
          <w:lang w:val="en-GB"/>
        </w:rPr>
        <w:t xml:space="preserve"> despite the intention having repeatedly been interpreted as being otherwise in numerous judgments</w:t>
      </w:r>
      <w:r w:rsidR="00A7636E" w:rsidRPr="00A7636E">
        <w:rPr>
          <w:lang w:val="en-GB"/>
        </w:rPr>
        <w:t xml:space="preserve"> </w:t>
      </w:r>
      <w:r w:rsidR="00A7636E">
        <w:rPr>
          <w:lang w:val="en-GB"/>
        </w:rPr>
        <w:t>in the light</w:t>
      </w:r>
      <w:r w:rsidR="00D43E35">
        <w:rPr>
          <w:lang w:val="en-GB"/>
        </w:rPr>
        <w:t xml:space="preserve"> of the entire legal context </w:t>
      </w:r>
      <w:r w:rsidR="00D36DD7">
        <w:rPr>
          <w:lang w:val="en-GB"/>
        </w:rPr>
        <w:t>– that fact</w:t>
      </w:r>
      <w:r w:rsidR="00A7636E">
        <w:rPr>
          <w:lang w:val="en-GB"/>
        </w:rPr>
        <w:t>,</w:t>
      </w:r>
      <w:r w:rsidR="00D36DD7">
        <w:rPr>
          <w:lang w:val="en-GB"/>
        </w:rPr>
        <w:t xml:space="preserve"> by itself</w:t>
      </w:r>
      <w:r w:rsidR="00A7636E">
        <w:rPr>
          <w:lang w:val="en-GB"/>
        </w:rPr>
        <w:t>,</w:t>
      </w:r>
      <w:r w:rsidR="00A37157">
        <w:rPr>
          <w:lang w:val="en-GB"/>
        </w:rPr>
        <w:t xml:space="preserve"> cannot </w:t>
      </w:r>
      <w:r w:rsidR="00D36DD7">
        <w:rPr>
          <w:lang w:val="en-GB"/>
        </w:rPr>
        <w:t xml:space="preserve">justify an intervention with </w:t>
      </w:r>
      <w:r w:rsidR="00D36DD7" w:rsidRPr="00A7636E">
        <w:rPr>
          <w:lang w:val="en-GB"/>
        </w:rPr>
        <w:t>retroactive effect.</w:t>
      </w:r>
    </w:p>
    <w:p w:rsidR="00632A2E" w:rsidRDefault="00D43E35" w:rsidP="009B0194">
      <w:pPr>
        <w:pStyle w:val="ECHRPara"/>
        <w:rPr>
          <w:lang w:val="en-GB"/>
        </w:rPr>
      </w:pPr>
      <w:r>
        <w:rPr>
          <w:lang w:val="en-GB"/>
        </w:rPr>
        <w:fldChar w:fldCharType="begin"/>
      </w:r>
      <w:r>
        <w:rPr>
          <w:lang w:val="en-GB"/>
        </w:rPr>
        <w:instrText xml:space="preserve"> SEQ level0 \*arabic </w:instrText>
      </w:r>
      <w:r>
        <w:rPr>
          <w:lang w:val="en-GB"/>
        </w:rPr>
        <w:fldChar w:fldCharType="separate"/>
      </w:r>
      <w:r w:rsidR="00D471CA">
        <w:rPr>
          <w:noProof/>
          <w:lang w:val="en-GB"/>
        </w:rPr>
        <w:t>82</w:t>
      </w:r>
      <w:r>
        <w:rPr>
          <w:lang w:val="en-GB"/>
        </w:rPr>
        <w:fldChar w:fldCharType="end"/>
      </w:r>
      <w:r>
        <w:rPr>
          <w:lang w:val="en-GB"/>
        </w:rPr>
        <w:t>.  </w:t>
      </w:r>
      <w:r w:rsidR="00A7636E">
        <w:rPr>
          <w:lang w:val="en-GB"/>
        </w:rPr>
        <w:t>Indeed, even accepting, as stated by the Constitutional Court</w:t>
      </w:r>
      <w:r>
        <w:rPr>
          <w:lang w:val="en-GB"/>
        </w:rPr>
        <w:t xml:space="preserve"> in 2006</w:t>
      </w:r>
      <w:r w:rsidR="00A7636E">
        <w:rPr>
          <w:lang w:val="en-GB"/>
        </w:rPr>
        <w:t xml:space="preserve">, that legislative intervention was necessary to eliminate any doubt about the extent and method of application of the benefits at issue, </w:t>
      </w:r>
      <w:r>
        <w:rPr>
          <w:lang w:val="en-GB"/>
        </w:rPr>
        <w:t xml:space="preserve">the Government </w:t>
      </w:r>
      <w:r w:rsidR="00B27720">
        <w:rPr>
          <w:lang w:val="en-GB"/>
        </w:rPr>
        <w:t>have</w:t>
      </w:r>
      <w:r>
        <w:rPr>
          <w:lang w:val="en-GB"/>
        </w:rPr>
        <w:t xml:space="preserve"> not show</w:t>
      </w:r>
      <w:r w:rsidR="00B27720">
        <w:rPr>
          <w:lang w:val="en-GB"/>
        </w:rPr>
        <w:t>n</w:t>
      </w:r>
      <w:r>
        <w:rPr>
          <w:lang w:val="en-GB"/>
        </w:rPr>
        <w:t xml:space="preserve"> that</w:t>
      </w:r>
      <w:r w:rsidR="00A7636E">
        <w:rPr>
          <w:lang w:val="en-GB"/>
        </w:rPr>
        <w:t xml:space="preserve"> there existed a necessity to apply the legislation retroactively, in such a way as to </w:t>
      </w:r>
      <w:r w:rsidR="006E0D61">
        <w:rPr>
          <w:lang w:val="en-GB"/>
        </w:rPr>
        <w:t xml:space="preserve">affect </w:t>
      </w:r>
      <w:r w:rsidR="00F867C4">
        <w:rPr>
          <w:lang w:val="en-GB"/>
        </w:rPr>
        <w:t>firms</w:t>
      </w:r>
      <w:r w:rsidR="00A7636E">
        <w:rPr>
          <w:lang w:val="en-GB"/>
        </w:rPr>
        <w:t xml:space="preserve"> whose proceedings were pending. </w:t>
      </w:r>
      <w:r>
        <w:rPr>
          <w:lang w:val="en-GB"/>
        </w:rPr>
        <w:t xml:space="preserve">The Court </w:t>
      </w:r>
      <w:r w:rsidR="006E0D61">
        <w:rPr>
          <w:lang w:val="en-GB"/>
        </w:rPr>
        <w:t xml:space="preserve">highlights </w:t>
      </w:r>
      <w:r>
        <w:rPr>
          <w:lang w:val="en-GB"/>
        </w:rPr>
        <w:t>that f</w:t>
      </w:r>
      <w:r w:rsidRPr="000C52D5">
        <w:rPr>
          <w:lang w:val="en-GB"/>
        </w:rPr>
        <w:t>inancial considerations</w:t>
      </w:r>
      <w:r>
        <w:rPr>
          <w:lang w:val="en-GB"/>
        </w:rPr>
        <w:t xml:space="preserve"> </w:t>
      </w:r>
      <w:r w:rsidRPr="000C52D5">
        <w:rPr>
          <w:lang w:val="en-GB"/>
        </w:rPr>
        <w:t>cannot by themselves warrant the legislature substituting itself for the courts in order to settle disputes</w:t>
      </w:r>
      <w:r>
        <w:rPr>
          <w:lang w:val="en-GB"/>
        </w:rPr>
        <w:t>.</w:t>
      </w:r>
      <w:r w:rsidR="00A7636E">
        <w:rPr>
          <w:lang w:val="en-GB"/>
        </w:rPr>
        <w:t xml:space="preserve"> </w:t>
      </w:r>
      <w:r>
        <w:rPr>
          <w:lang w:val="en-GB"/>
        </w:rPr>
        <w:t xml:space="preserve">While it is true that </w:t>
      </w:r>
      <w:r w:rsidR="006E0D61">
        <w:rPr>
          <w:lang w:val="en-GB"/>
        </w:rPr>
        <w:t xml:space="preserve">at </w:t>
      </w:r>
      <w:r>
        <w:rPr>
          <w:lang w:val="en-GB"/>
        </w:rPr>
        <w:t xml:space="preserve">a later stage of </w:t>
      </w:r>
      <w:r w:rsidR="006E0D61">
        <w:rPr>
          <w:lang w:val="en-GB"/>
        </w:rPr>
        <w:t xml:space="preserve">the </w:t>
      </w:r>
      <w:r>
        <w:rPr>
          <w:lang w:val="en-GB"/>
        </w:rPr>
        <w:t xml:space="preserve">observations, </w:t>
      </w:r>
      <w:r w:rsidR="006E0D61">
        <w:rPr>
          <w:lang w:val="en-GB"/>
        </w:rPr>
        <w:t xml:space="preserve">in response to </w:t>
      </w:r>
      <w:r>
        <w:rPr>
          <w:lang w:val="en-GB"/>
        </w:rPr>
        <w:t xml:space="preserve">further questions by the Court, the Government made reference to compatibility with EU legislation and infringement proceedings in their regard, </w:t>
      </w:r>
      <w:r w:rsidR="006E0D61">
        <w:rPr>
          <w:lang w:val="en-GB"/>
        </w:rPr>
        <w:t>they</w:t>
      </w:r>
      <w:r>
        <w:rPr>
          <w:lang w:val="en-GB"/>
        </w:rPr>
        <w:t xml:space="preserve"> failed to give any detail whatsoever on that matter. In the absence of concrete information in that re</w:t>
      </w:r>
      <w:r w:rsidR="00B27720">
        <w:rPr>
          <w:lang w:val="en-GB"/>
        </w:rPr>
        <w:t>spect</w:t>
      </w:r>
      <w:r>
        <w:rPr>
          <w:lang w:val="en-GB"/>
        </w:rPr>
        <w:t xml:space="preserve"> such an argument cannot but be considered as an unsubstantiated allegation</w:t>
      </w:r>
      <w:r w:rsidR="00564612">
        <w:rPr>
          <w:lang w:val="en-GB"/>
        </w:rPr>
        <w:t>. M</w:t>
      </w:r>
      <w:r>
        <w:rPr>
          <w:lang w:val="en-GB"/>
        </w:rPr>
        <w:t>oreover</w:t>
      </w:r>
      <w:r w:rsidR="00564612">
        <w:rPr>
          <w:lang w:val="en-GB"/>
        </w:rPr>
        <w:t>,</w:t>
      </w:r>
      <w:r>
        <w:rPr>
          <w:lang w:val="en-GB"/>
        </w:rPr>
        <w:t xml:space="preserve"> the fact that it was brought up at such a late stage </w:t>
      </w:r>
      <w:r w:rsidR="00564612">
        <w:rPr>
          <w:lang w:val="en-GB"/>
        </w:rPr>
        <w:t xml:space="preserve">of </w:t>
      </w:r>
      <w:r w:rsidR="006E0D61">
        <w:rPr>
          <w:lang w:val="en-GB"/>
        </w:rPr>
        <w:t xml:space="preserve">the </w:t>
      </w:r>
      <w:r w:rsidR="00564612">
        <w:rPr>
          <w:lang w:val="en-GB"/>
        </w:rPr>
        <w:t xml:space="preserve">proceedings </w:t>
      </w:r>
      <w:r>
        <w:rPr>
          <w:lang w:val="en-GB"/>
        </w:rPr>
        <w:t xml:space="preserve">indicates that the Government did not consider it </w:t>
      </w:r>
      <w:r w:rsidR="006E0D61">
        <w:rPr>
          <w:lang w:val="en-GB"/>
        </w:rPr>
        <w:t xml:space="preserve">to be </w:t>
      </w:r>
      <w:r>
        <w:rPr>
          <w:lang w:val="en-GB"/>
        </w:rPr>
        <w:t xml:space="preserve">of any major relevance. </w:t>
      </w:r>
      <w:r w:rsidR="00841D09">
        <w:rPr>
          <w:lang w:val="en-GB"/>
        </w:rPr>
        <w:t>Thus, while the aim of the law may have been legitimate</w:t>
      </w:r>
      <w:r w:rsidR="00DE4AFF">
        <w:rPr>
          <w:lang w:val="en-GB"/>
        </w:rPr>
        <w:t>, and worthy of intervention to regulate the future provision of the said benefits</w:t>
      </w:r>
      <w:r w:rsidR="00841D09">
        <w:rPr>
          <w:lang w:val="en-GB"/>
        </w:rPr>
        <w:t>, the Court is unable to identify in the ci</w:t>
      </w:r>
      <w:r w:rsidR="002E52B2">
        <w:rPr>
          <w:lang w:val="en-GB"/>
        </w:rPr>
        <w:t>rcumstances of the present case</w:t>
      </w:r>
      <w:r w:rsidR="00841D09">
        <w:rPr>
          <w:lang w:val="en-GB"/>
        </w:rPr>
        <w:t xml:space="preserve"> any compelling general</w:t>
      </w:r>
      <w:r w:rsidR="00553AB2">
        <w:rPr>
          <w:lang w:val="en-GB"/>
        </w:rPr>
        <w:noBreakHyphen/>
      </w:r>
      <w:r w:rsidR="00841D09">
        <w:rPr>
          <w:lang w:val="en-GB"/>
        </w:rPr>
        <w:t xml:space="preserve">interest reason capable of </w:t>
      </w:r>
      <w:r w:rsidR="006E0D61">
        <w:rPr>
          <w:lang w:val="en-GB"/>
        </w:rPr>
        <w:t xml:space="preserve">outweighing </w:t>
      </w:r>
      <w:r w:rsidR="00841D09">
        <w:rPr>
          <w:lang w:val="en-GB"/>
        </w:rPr>
        <w:t xml:space="preserve">the dangers </w:t>
      </w:r>
      <w:r w:rsidR="00841D09" w:rsidRPr="00841D09">
        <w:rPr>
          <w:lang w:val="en-GB"/>
        </w:rPr>
        <w:t xml:space="preserve">inherent in the use of retrospective legislation which </w:t>
      </w:r>
      <w:r w:rsidR="00357C6A" w:rsidRPr="00841D09">
        <w:rPr>
          <w:lang w:val="en-GB"/>
        </w:rPr>
        <w:t>ha</w:t>
      </w:r>
      <w:r w:rsidR="00357C6A">
        <w:rPr>
          <w:lang w:val="en-GB"/>
        </w:rPr>
        <w:t>d</w:t>
      </w:r>
      <w:r w:rsidR="00357C6A" w:rsidRPr="00841D09">
        <w:rPr>
          <w:lang w:val="en-GB"/>
        </w:rPr>
        <w:t xml:space="preserve"> </w:t>
      </w:r>
      <w:r w:rsidR="00841D09" w:rsidRPr="00841D09">
        <w:rPr>
          <w:lang w:val="en-GB"/>
        </w:rPr>
        <w:t>the effect of influencing the judicial determination of a pending dispute to which the State was a party.</w:t>
      </w:r>
    </w:p>
    <w:p w:rsidR="00632A2E" w:rsidRDefault="00841D09" w:rsidP="009B0194">
      <w:pPr>
        <w:pStyle w:val="ECHRPara"/>
        <w:rPr>
          <w:iCs/>
          <w:lang w:val="en-GB"/>
        </w:rPr>
      </w:pPr>
      <w:r w:rsidRPr="00AC0873">
        <w:rPr>
          <w:lang w:val="en-GB"/>
        </w:rPr>
        <w:fldChar w:fldCharType="begin"/>
      </w:r>
      <w:r w:rsidRPr="00AC0873">
        <w:rPr>
          <w:lang w:val="en-GB"/>
        </w:rPr>
        <w:instrText xml:space="preserve"> SEQ level0 \*arabic </w:instrText>
      </w:r>
      <w:r w:rsidRPr="00AC0873">
        <w:rPr>
          <w:lang w:val="en-GB"/>
        </w:rPr>
        <w:fldChar w:fldCharType="separate"/>
      </w:r>
      <w:r w:rsidR="00D471CA">
        <w:rPr>
          <w:noProof/>
          <w:lang w:val="en-GB"/>
        </w:rPr>
        <w:t>83</w:t>
      </w:r>
      <w:r w:rsidRPr="00AC0873">
        <w:rPr>
          <w:lang w:val="en-GB"/>
        </w:rPr>
        <w:fldChar w:fldCharType="end"/>
      </w:r>
      <w:r w:rsidRPr="00AC0873">
        <w:rPr>
          <w:lang w:val="en-GB"/>
        </w:rPr>
        <w:t xml:space="preserve">.  The </w:t>
      </w:r>
      <w:r w:rsidR="00536C91" w:rsidRPr="00AC0873">
        <w:rPr>
          <w:lang w:val="en-GB"/>
        </w:rPr>
        <w:t>C</w:t>
      </w:r>
      <w:r w:rsidRPr="00AC0873">
        <w:rPr>
          <w:lang w:val="en-GB"/>
        </w:rPr>
        <w:t>ourt</w:t>
      </w:r>
      <w:r w:rsidR="00D40FB9" w:rsidRPr="00AC0873">
        <w:rPr>
          <w:lang w:val="en-GB"/>
        </w:rPr>
        <w:t xml:space="preserve"> </w:t>
      </w:r>
      <w:r w:rsidR="00695E76" w:rsidRPr="00AC0873">
        <w:rPr>
          <w:lang w:val="en-GB"/>
        </w:rPr>
        <w:t>will</w:t>
      </w:r>
      <w:r w:rsidR="002A5746">
        <w:rPr>
          <w:lang w:val="en-GB"/>
        </w:rPr>
        <w:t>,</w:t>
      </w:r>
      <w:r w:rsidR="00695E76" w:rsidRPr="00AC0873">
        <w:rPr>
          <w:lang w:val="en-GB"/>
        </w:rPr>
        <w:t xml:space="preserve"> however</w:t>
      </w:r>
      <w:r w:rsidR="002A5746">
        <w:rPr>
          <w:lang w:val="en-GB"/>
        </w:rPr>
        <w:t>,</w:t>
      </w:r>
      <w:r w:rsidR="00695E76" w:rsidRPr="00AC0873">
        <w:rPr>
          <w:lang w:val="en-GB"/>
        </w:rPr>
        <w:t xml:space="preserve"> </w:t>
      </w:r>
      <w:r w:rsidR="00564612" w:rsidRPr="00AC0873">
        <w:rPr>
          <w:lang w:val="en-GB"/>
        </w:rPr>
        <w:t xml:space="preserve">also </w:t>
      </w:r>
      <w:r w:rsidR="00695E76" w:rsidRPr="00AC0873">
        <w:rPr>
          <w:lang w:val="en-GB"/>
        </w:rPr>
        <w:t>assess whether the applicant companies were attempting to take advantage of a weakness in the system</w:t>
      </w:r>
      <w:r w:rsidR="003C5598" w:rsidRPr="003C5598">
        <w:rPr>
          <w:b/>
          <w:bCs/>
          <w:lang w:val="en-US"/>
        </w:rPr>
        <w:t xml:space="preserve"> </w:t>
      </w:r>
      <w:r w:rsidR="003C5598" w:rsidRPr="003C5598">
        <w:rPr>
          <w:bCs/>
          <w:lang w:val="en-US"/>
        </w:rPr>
        <w:t>(compare</w:t>
      </w:r>
      <w:r w:rsidR="003C5598">
        <w:rPr>
          <w:bCs/>
          <w:lang w:val="en-US"/>
        </w:rPr>
        <w:t>,</w:t>
      </w:r>
      <w:r w:rsidR="003C5598" w:rsidRPr="003C5598">
        <w:rPr>
          <w:bCs/>
          <w:lang w:val="en-US"/>
        </w:rPr>
        <w:t xml:space="preserve"> </w:t>
      </w:r>
      <w:r w:rsidR="003C5598" w:rsidRPr="003C5598">
        <w:rPr>
          <w:bCs/>
          <w:i/>
          <w:lang w:val="en-US"/>
        </w:rPr>
        <w:t>National and Provincial Building Society</w:t>
      </w:r>
      <w:r w:rsidR="003C5598" w:rsidRPr="003C5598">
        <w:rPr>
          <w:bCs/>
          <w:lang w:val="en-US"/>
        </w:rPr>
        <w:t xml:space="preserve">, cited above, § 109, and </w:t>
      </w:r>
      <w:r w:rsidR="003C5598" w:rsidRPr="003C5598">
        <w:rPr>
          <w:bCs/>
          <w:i/>
          <w:lang w:val="en-US"/>
        </w:rPr>
        <w:t>OGIS-Institut Stanislas, OGEC Saint-Pie X and Blanche de Castille and Others v. France</w:t>
      </w:r>
      <w:r w:rsidR="003C5598" w:rsidRPr="003C5598">
        <w:rPr>
          <w:bCs/>
          <w:lang w:val="en-US"/>
        </w:rPr>
        <w:t>, nos. 42219/98 and 54563/00, §§ 69 and 71, 27 May 2004)</w:t>
      </w:r>
      <w:r w:rsidR="00695E76" w:rsidRPr="003C5598">
        <w:rPr>
          <w:lang w:val="en-GB"/>
        </w:rPr>
        <w:t>.</w:t>
      </w:r>
      <w:r w:rsidR="00695E76" w:rsidRPr="00AC0873">
        <w:rPr>
          <w:lang w:val="en-GB"/>
        </w:rPr>
        <w:t xml:space="preserve"> The Court </w:t>
      </w:r>
      <w:r w:rsidR="00AB10E9" w:rsidRPr="00AC0873">
        <w:rPr>
          <w:lang w:val="en-GB"/>
        </w:rPr>
        <w:t>cannot but observe</w:t>
      </w:r>
      <w:r w:rsidRPr="00AC0873">
        <w:rPr>
          <w:lang w:val="en-GB"/>
        </w:rPr>
        <w:t xml:space="preserve"> </w:t>
      </w:r>
      <w:r w:rsidR="00536C91" w:rsidRPr="00AC0873">
        <w:rPr>
          <w:lang w:val="en-GB"/>
        </w:rPr>
        <w:t>that the applicant</w:t>
      </w:r>
      <w:r w:rsidR="00064F2E">
        <w:rPr>
          <w:lang w:val="en-GB"/>
        </w:rPr>
        <w:t xml:space="preserve"> companie</w:t>
      </w:r>
      <w:r w:rsidR="00536C91" w:rsidRPr="00AC0873">
        <w:rPr>
          <w:lang w:val="en-GB"/>
        </w:rPr>
        <w:t>s did not bring proceedings against the INPS i</w:t>
      </w:r>
      <w:r w:rsidR="00805AF8" w:rsidRPr="00AC0873">
        <w:rPr>
          <w:lang w:val="en-GB"/>
        </w:rPr>
        <w:t xml:space="preserve">mmediately </w:t>
      </w:r>
      <w:r w:rsidR="00AB10E9" w:rsidRPr="00AC0873">
        <w:rPr>
          <w:lang w:val="en-GB"/>
        </w:rPr>
        <w:t>in 1988.</w:t>
      </w:r>
      <w:r w:rsidR="00632A2E">
        <w:rPr>
          <w:lang w:val="en-GB"/>
        </w:rPr>
        <w:t xml:space="preserve"> </w:t>
      </w:r>
      <w:r w:rsidR="00AB10E9" w:rsidRPr="00AC0873">
        <w:rPr>
          <w:lang w:val="en-GB"/>
        </w:rPr>
        <w:t>Indeed</w:t>
      </w:r>
      <w:r w:rsidR="008C781F" w:rsidRPr="00AC0873">
        <w:rPr>
          <w:lang w:val="en-GB"/>
        </w:rPr>
        <w:t>,</w:t>
      </w:r>
      <w:r w:rsidR="00FC7AFD" w:rsidRPr="00AC0873">
        <w:rPr>
          <w:lang w:val="en-GB"/>
        </w:rPr>
        <w:t xml:space="preserve"> three </w:t>
      </w:r>
      <w:r w:rsidR="00AB10E9" w:rsidRPr="00AC0873">
        <w:rPr>
          <w:lang w:val="en-GB"/>
        </w:rPr>
        <w:t>of the four applicant companies</w:t>
      </w:r>
      <w:r w:rsidR="00FC7AFD" w:rsidRPr="00AC0873">
        <w:rPr>
          <w:lang w:val="en-GB"/>
        </w:rPr>
        <w:t xml:space="preserve"> awaited the outcome of the </w:t>
      </w:r>
      <w:r w:rsidR="00AB10E9" w:rsidRPr="00AC0873">
        <w:rPr>
          <w:lang w:val="en-GB"/>
        </w:rPr>
        <w:t>proceedin</w:t>
      </w:r>
      <w:r w:rsidR="008C781F" w:rsidRPr="00AC0873">
        <w:rPr>
          <w:lang w:val="en-GB"/>
        </w:rPr>
        <w:t>gs undertaken by Floramiata Spa. O</w:t>
      </w:r>
      <w:r w:rsidR="00D40FB9" w:rsidRPr="00AC0873">
        <w:rPr>
          <w:lang w:val="en-GB"/>
        </w:rPr>
        <w:t xml:space="preserve">nly </w:t>
      </w:r>
      <w:r w:rsidR="00AB10E9" w:rsidRPr="00AC0873">
        <w:rPr>
          <w:snapToGrid w:val="0"/>
          <w:lang w:val="en-GB"/>
        </w:rPr>
        <w:t>one of the applicant</w:t>
      </w:r>
      <w:r w:rsidR="00064F2E">
        <w:rPr>
          <w:snapToGrid w:val="0"/>
          <w:lang w:val="en-GB"/>
        </w:rPr>
        <w:t xml:space="preserve"> companie</w:t>
      </w:r>
      <w:r w:rsidR="00AB10E9" w:rsidRPr="00AC0873">
        <w:rPr>
          <w:snapToGrid w:val="0"/>
          <w:lang w:val="en-GB"/>
        </w:rPr>
        <w:t>s</w:t>
      </w:r>
      <w:r w:rsidR="00514476">
        <w:rPr>
          <w:snapToGrid w:val="0"/>
          <w:lang w:val="en-GB"/>
        </w:rPr>
        <w:t>,</w:t>
      </w:r>
      <w:r w:rsidR="00AB10E9" w:rsidRPr="00AC0873">
        <w:rPr>
          <w:snapToGrid w:val="0"/>
          <w:lang w:val="en-GB"/>
        </w:rPr>
        <w:t xml:space="preserve"> namely S.A.P. Pietrafitta S.r.l</w:t>
      </w:r>
      <w:r w:rsidR="008C781F" w:rsidRPr="00AC0873">
        <w:rPr>
          <w:snapToGrid w:val="0"/>
          <w:lang w:val="en-GB"/>
        </w:rPr>
        <w:t>,</w:t>
      </w:r>
      <w:r w:rsidR="00AB10E9" w:rsidRPr="00AC0873">
        <w:rPr>
          <w:snapToGrid w:val="0"/>
          <w:lang w:val="en-GB"/>
        </w:rPr>
        <w:t xml:space="preserve"> lodged its administrative </w:t>
      </w:r>
      <w:r w:rsidR="00514476">
        <w:rPr>
          <w:snapToGrid w:val="0"/>
          <w:lang w:val="en-GB"/>
        </w:rPr>
        <w:t>application</w:t>
      </w:r>
      <w:r w:rsidR="00514476" w:rsidRPr="00AC0873">
        <w:rPr>
          <w:snapToGrid w:val="0"/>
          <w:lang w:val="en-GB"/>
        </w:rPr>
        <w:t xml:space="preserve"> </w:t>
      </w:r>
      <w:r w:rsidR="00AB10E9" w:rsidRPr="00AC0873">
        <w:rPr>
          <w:snapToGrid w:val="0"/>
          <w:lang w:val="en-GB"/>
        </w:rPr>
        <w:t>and subsequent judicial proceedings before the Court of Cassation judgment in Floramiata Spa</w:t>
      </w:r>
      <w:r w:rsidR="00514476">
        <w:rPr>
          <w:snapToGrid w:val="0"/>
          <w:lang w:val="en-GB"/>
        </w:rPr>
        <w:t xml:space="preserve"> had been issued</w:t>
      </w:r>
      <w:r w:rsidR="00AB10E9" w:rsidRPr="00AC0873">
        <w:rPr>
          <w:snapToGrid w:val="0"/>
          <w:lang w:val="en-GB"/>
        </w:rPr>
        <w:t xml:space="preserve"> </w:t>
      </w:r>
      <w:r w:rsidR="00AB10E9" w:rsidRPr="00AC0873">
        <w:rPr>
          <w:lang w:val="en-GB"/>
        </w:rPr>
        <w:t>(see paragraphs 31 and 33)</w:t>
      </w:r>
      <w:r w:rsidR="00B27720">
        <w:rPr>
          <w:lang w:val="en-GB"/>
        </w:rPr>
        <w:t>;</w:t>
      </w:r>
      <w:r w:rsidR="00AB10E9" w:rsidRPr="00AC0873">
        <w:rPr>
          <w:lang w:val="en-GB"/>
        </w:rPr>
        <w:t xml:space="preserve"> however</w:t>
      </w:r>
      <w:r w:rsidR="00963B42" w:rsidRPr="00AC0873">
        <w:rPr>
          <w:lang w:val="en-GB"/>
        </w:rPr>
        <w:t>,</w:t>
      </w:r>
      <w:r w:rsidR="00AB10E9" w:rsidRPr="00AC0873">
        <w:rPr>
          <w:lang w:val="en-GB"/>
        </w:rPr>
        <w:t xml:space="preserve"> </w:t>
      </w:r>
      <w:r w:rsidR="008C781F" w:rsidRPr="00AC0873">
        <w:rPr>
          <w:lang w:val="en-GB"/>
        </w:rPr>
        <w:t xml:space="preserve">it did so </w:t>
      </w:r>
      <w:r w:rsidR="00AB10E9" w:rsidRPr="00AC0873">
        <w:rPr>
          <w:lang w:val="en-GB"/>
        </w:rPr>
        <w:t>more than a decade after the enactment of the original law</w:t>
      </w:r>
      <w:r w:rsidR="00AB10E9" w:rsidRPr="00AC0873">
        <w:rPr>
          <w:snapToGrid w:val="0"/>
          <w:lang w:val="en-GB"/>
        </w:rPr>
        <w:t>. Undeniably</w:t>
      </w:r>
      <w:r w:rsidR="00514476">
        <w:rPr>
          <w:snapToGrid w:val="0"/>
          <w:lang w:val="en-GB"/>
        </w:rPr>
        <w:t>,</w:t>
      </w:r>
      <w:r w:rsidR="00AB10E9" w:rsidRPr="00AC0873">
        <w:rPr>
          <w:snapToGrid w:val="0"/>
          <w:lang w:val="en-GB"/>
        </w:rPr>
        <w:t xml:space="preserve"> such a wait had some bearing on the Court</w:t>
      </w:r>
      <w:r w:rsidR="00864D90">
        <w:rPr>
          <w:snapToGrid w:val="0"/>
          <w:lang w:val="en-GB"/>
        </w:rPr>
        <w:t>’</w:t>
      </w:r>
      <w:r w:rsidR="00AB10E9" w:rsidRPr="00AC0873">
        <w:rPr>
          <w:snapToGrid w:val="0"/>
          <w:lang w:val="en-GB"/>
        </w:rPr>
        <w:t xml:space="preserve">s findings </w:t>
      </w:r>
      <w:r w:rsidR="00907902" w:rsidRPr="00AC0873">
        <w:rPr>
          <w:lang w:val="en-GB"/>
        </w:rPr>
        <w:t>in</w:t>
      </w:r>
      <w:r w:rsidR="00AB10E9" w:rsidRPr="00AC0873">
        <w:rPr>
          <w:lang w:val="en-GB"/>
        </w:rPr>
        <w:t xml:space="preserve"> the case</w:t>
      </w:r>
      <w:r w:rsidR="00514476">
        <w:rPr>
          <w:lang w:val="en-GB"/>
        </w:rPr>
        <w:t xml:space="preserve"> of</w:t>
      </w:r>
      <w:r w:rsidR="00907902" w:rsidRPr="00AC0873">
        <w:rPr>
          <w:lang w:val="en-GB"/>
        </w:rPr>
        <w:t xml:space="preserve"> </w:t>
      </w:r>
      <w:r w:rsidR="00907902" w:rsidRPr="00AC0873">
        <w:rPr>
          <w:i/>
          <w:iCs/>
          <w:lang w:val="en-GB"/>
        </w:rPr>
        <w:t xml:space="preserve">National &amp; </w:t>
      </w:r>
      <w:r w:rsidR="00907902" w:rsidRPr="00AC0873">
        <w:rPr>
          <w:bCs/>
          <w:i/>
          <w:iCs/>
          <w:lang w:val="en-GB"/>
        </w:rPr>
        <w:t>Provincial</w:t>
      </w:r>
      <w:r w:rsidR="00907902" w:rsidRPr="00AC0873">
        <w:rPr>
          <w:i/>
          <w:iCs/>
          <w:lang w:val="en-GB"/>
        </w:rPr>
        <w:t xml:space="preserve"> </w:t>
      </w:r>
      <w:r w:rsidR="00907902" w:rsidRPr="00AC0873">
        <w:rPr>
          <w:bCs/>
          <w:i/>
          <w:iCs/>
          <w:lang w:val="en-GB"/>
        </w:rPr>
        <w:t>Building</w:t>
      </w:r>
      <w:r w:rsidR="00907902" w:rsidRPr="00AC0873">
        <w:rPr>
          <w:i/>
          <w:iCs/>
          <w:lang w:val="en-GB"/>
        </w:rPr>
        <w:t xml:space="preserve"> </w:t>
      </w:r>
      <w:r w:rsidR="00907902" w:rsidRPr="00AC0873">
        <w:rPr>
          <w:bCs/>
          <w:i/>
          <w:iCs/>
          <w:lang w:val="en-GB"/>
        </w:rPr>
        <w:t>Society</w:t>
      </w:r>
      <w:r w:rsidR="00695E76" w:rsidRPr="00AC0873">
        <w:rPr>
          <w:i/>
          <w:iCs/>
          <w:lang w:val="en-GB"/>
        </w:rPr>
        <w:t xml:space="preserve"> </w:t>
      </w:r>
      <w:r w:rsidR="00907902" w:rsidRPr="00AC0873">
        <w:rPr>
          <w:iCs/>
          <w:lang w:val="en-GB"/>
        </w:rPr>
        <w:t xml:space="preserve">(cited above </w:t>
      </w:r>
      <w:r w:rsidR="00907902" w:rsidRPr="00AC0873">
        <w:rPr>
          <w:rFonts w:cstheme="minorHAnsi"/>
          <w:iCs/>
          <w:lang w:val="en-GB"/>
        </w:rPr>
        <w:t xml:space="preserve">§ </w:t>
      </w:r>
      <w:r w:rsidR="00AB10E9" w:rsidRPr="00AC0873">
        <w:rPr>
          <w:iCs/>
          <w:lang w:val="en-GB"/>
        </w:rPr>
        <w:t>109). Nevertheless, twenty years after that judgment</w:t>
      </w:r>
      <w:r w:rsidR="00AC0873" w:rsidRPr="00AC0873">
        <w:rPr>
          <w:iCs/>
          <w:lang w:val="en-GB"/>
        </w:rPr>
        <w:t>,</w:t>
      </w:r>
      <w:r w:rsidR="00D40FB9" w:rsidRPr="00AC0873">
        <w:rPr>
          <w:iCs/>
          <w:lang w:val="en-GB"/>
        </w:rPr>
        <w:t xml:space="preserve"> the Court must take other </w:t>
      </w:r>
      <w:r w:rsidR="00870E85">
        <w:rPr>
          <w:iCs/>
          <w:lang w:val="en-GB"/>
        </w:rPr>
        <w:t>factors</w:t>
      </w:r>
      <w:r w:rsidR="00870E85" w:rsidRPr="00870E85">
        <w:rPr>
          <w:iCs/>
          <w:lang w:val="en-GB"/>
        </w:rPr>
        <w:t xml:space="preserve"> </w:t>
      </w:r>
      <w:r w:rsidR="00870E85" w:rsidRPr="00AC0873">
        <w:rPr>
          <w:iCs/>
          <w:lang w:val="en-GB"/>
        </w:rPr>
        <w:t>into account</w:t>
      </w:r>
      <w:r w:rsidR="00D40FB9" w:rsidRPr="00AC0873">
        <w:rPr>
          <w:iCs/>
          <w:lang w:val="en-GB"/>
        </w:rPr>
        <w:t>. B</w:t>
      </w:r>
      <w:r w:rsidR="00AB10E9" w:rsidRPr="00AC0873">
        <w:rPr>
          <w:iCs/>
          <w:lang w:val="en-GB"/>
        </w:rPr>
        <w:t>earing in mind th</w:t>
      </w:r>
      <w:r w:rsidR="00870E85">
        <w:rPr>
          <w:iCs/>
          <w:lang w:val="en-GB"/>
        </w:rPr>
        <w:t>at</w:t>
      </w:r>
      <w:r w:rsidR="00AB10E9" w:rsidRPr="00AC0873">
        <w:rPr>
          <w:iCs/>
          <w:lang w:val="en-GB"/>
        </w:rPr>
        <w:t xml:space="preserve"> justice systems in many Council of Europe </w:t>
      </w:r>
      <w:r w:rsidR="00514476">
        <w:rPr>
          <w:iCs/>
          <w:lang w:val="en-GB"/>
        </w:rPr>
        <w:t xml:space="preserve">member </w:t>
      </w:r>
      <w:r w:rsidR="00AB10E9" w:rsidRPr="00AC0873">
        <w:rPr>
          <w:iCs/>
          <w:lang w:val="en-GB"/>
        </w:rPr>
        <w:t>States, including, if not particularly</w:t>
      </w:r>
      <w:r w:rsidR="00D40FB9" w:rsidRPr="00AC0873">
        <w:rPr>
          <w:iCs/>
          <w:lang w:val="en-GB"/>
        </w:rPr>
        <w:t>,</w:t>
      </w:r>
      <w:r w:rsidR="00AB10E9" w:rsidRPr="00AC0873">
        <w:rPr>
          <w:iCs/>
          <w:lang w:val="en-GB"/>
        </w:rPr>
        <w:t xml:space="preserve"> Italy, </w:t>
      </w:r>
      <w:r w:rsidR="00870E85">
        <w:rPr>
          <w:iCs/>
          <w:lang w:val="en-GB"/>
        </w:rPr>
        <w:t xml:space="preserve">are </w:t>
      </w:r>
      <w:r w:rsidR="00870E85" w:rsidRPr="00AC0873">
        <w:rPr>
          <w:iCs/>
          <w:lang w:val="en-GB"/>
        </w:rPr>
        <w:t>overburdened</w:t>
      </w:r>
      <w:r w:rsidR="00870E85">
        <w:rPr>
          <w:iCs/>
          <w:lang w:val="en-GB"/>
        </w:rPr>
        <w:t>,</w:t>
      </w:r>
      <w:r w:rsidR="00870E85" w:rsidRPr="00AC0873">
        <w:rPr>
          <w:iCs/>
          <w:lang w:val="en-GB"/>
        </w:rPr>
        <w:t xml:space="preserve"> </w:t>
      </w:r>
      <w:r w:rsidR="00AB10E9" w:rsidRPr="00AC0873">
        <w:rPr>
          <w:iCs/>
          <w:lang w:val="en-GB"/>
        </w:rPr>
        <w:t xml:space="preserve">the Court considers that </w:t>
      </w:r>
      <w:r w:rsidR="00963B42" w:rsidRPr="00AC0873">
        <w:rPr>
          <w:iCs/>
          <w:lang w:val="en-GB"/>
        </w:rPr>
        <w:t xml:space="preserve">waiting </w:t>
      </w:r>
      <w:r w:rsidR="00E469EF">
        <w:rPr>
          <w:iCs/>
          <w:lang w:val="en-GB"/>
        </w:rPr>
        <w:t>for</w:t>
      </w:r>
      <w:r w:rsidR="00E469EF" w:rsidRPr="00AC0873">
        <w:rPr>
          <w:iCs/>
          <w:lang w:val="en-GB"/>
        </w:rPr>
        <w:t xml:space="preserve"> </w:t>
      </w:r>
      <w:r w:rsidR="00963B42" w:rsidRPr="00AC0873">
        <w:rPr>
          <w:iCs/>
          <w:lang w:val="en-GB"/>
        </w:rPr>
        <w:t xml:space="preserve">the determination of a </w:t>
      </w:r>
      <w:r w:rsidR="00695E76" w:rsidRPr="00AC0873">
        <w:rPr>
          <w:iCs/>
          <w:lang w:val="en-GB"/>
        </w:rPr>
        <w:t>principal</w:t>
      </w:r>
      <w:r w:rsidR="00963B42" w:rsidRPr="00AC0873">
        <w:rPr>
          <w:iCs/>
          <w:lang w:val="en-GB"/>
        </w:rPr>
        <w:t xml:space="preserve"> judgment on the matter could only benefit the interest</w:t>
      </w:r>
      <w:r w:rsidR="00D40FB9" w:rsidRPr="00AC0873">
        <w:rPr>
          <w:iCs/>
          <w:lang w:val="en-GB"/>
        </w:rPr>
        <w:t>s</w:t>
      </w:r>
      <w:r w:rsidR="00963B42" w:rsidRPr="00AC0873">
        <w:rPr>
          <w:iCs/>
          <w:lang w:val="en-GB"/>
        </w:rPr>
        <w:t xml:space="preserve"> of judicial economy. Moreover, one cannot lose sight of the fact that by waiting for the outcome of that judgment, the applicant companies were on the one hand protecting </w:t>
      </w:r>
      <w:r w:rsidR="00E469EF">
        <w:rPr>
          <w:iCs/>
          <w:lang w:val="en-GB"/>
        </w:rPr>
        <w:t>themselves</w:t>
      </w:r>
      <w:r w:rsidR="00963B42" w:rsidRPr="00AC0873">
        <w:rPr>
          <w:iCs/>
          <w:lang w:val="en-GB"/>
        </w:rPr>
        <w:t xml:space="preserve"> from the risk of incurring unnecessary costs and expenses, but</w:t>
      </w:r>
      <w:r w:rsidR="004D1F5C" w:rsidRPr="00AC0873">
        <w:rPr>
          <w:iCs/>
          <w:lang w:val="en-GB"/>
        </w:rPr>
        <w:t>,</w:t>
      </w:r>
      <w:r w:rsidR="00963B42" w:rsidRPr="00AC0873">
        <w:rPr>
          <w:iCs/>
          <w:lang w:val="en-GB"/>
        </w:rPr>
        <w:t xml:space="preserve"> on the other hand</w:t>
      </w:r>
      <w:r w:rsidR="004D1F5C" w:rsidRPr="00AC0873">
        <w:rPr>
          <w:iCs/>
          <w:lang w:val="en-GB"/>
        </w:rPr>
        <w:t>,</w:t>
      </w:r>
      <w:r w:rsidR="00963B42" w:rsidRPr="00AC0873">
        <w:rPr>
          <w:iCs/>
          <w:lang w:val="en-GB"/>
        </w:rPr>
        <w:t xml:space="preserve"> </w:t>
      </w:r>
      <w:r w:rsidR="000E7C18" w:rsidRPr="00AC0873">
        <w:rPr>
          <w:iCs/>
          <w:lang w:val="en-GB"/>
        </w:rPr>
        <w:t>forfeiting</w:t>
      </w:r>
      <w:r w:rsidR="00963B42" w:rsidRPr="00AC0873">
        <w:rPr>
          <w:iCs/>
          <w:lang w:val="en-GB"/>
        </w:rPr>
        <w:t xml:space="preserve"> parts of</w:t>
      </w:r>
      <w:r w:rsidR="00834D7E" w:rsidRPr="00AC0873">
        <w:rPr>
          <w:iCs/>
          <w:lang w:val="en-GB"/>
        </w:rPr>
        <w:t xml:space="preserve"> the</w:t>
      </w:r>
      <w:r w:rsidR="00963B42" w:rsidRPr="00AC0873">
        <w:rPr>
          <w:iCs/>
          <w:lang w:val="en-GB"/>
        </w:rPr>
        <w:t xml:space="preserve"> sums that they </w:t>
      </w:r>
      <w:r w:rsidR="000E7C18" w:rsidRPr="00AC0873">
        <w:rPr>
          <w:iCs/>
          <w:lang w:val="en-GB"/>
        </w:rPr>
        <w:t>c</w:t>
      </w:r>
      <w:r w:rsidR="00963B42" w:rsidRPr="00AC0873">
        <w:rPr>
          <w:iCs/>
          <w:lang w:val="en-GB"/>
        </w:rPr>
        <w:t>ould have recovered</w:t>
      </w:r>
      <w:r w:rsidR="00514476">
        <w:rPr>
          <w:iCs/>
          <w:lang w:val="en-GB"/>
        </w:rPr>
        <w:t>,</w:t>
      </w:r>
      <w:r w:rsidR="00963B42" w:rsidRPr="00AC0873">
        <w:rPr>
          <w:iCs/>
          <w:lang w:val="en-GB"/>
        </w:rPr>
        <w:t xml:space="preserve"> </w:t>
      </w:r>
      <w:r w:rsidR="004D1F5C" w:rsidRPr="00AC0873">
        <w:rPr>
          <w:iCs/>
          <w:lang w:val="en-GB"/>
        </w:rPr>
        <w:t>since</w:t>
      </w:r>
      <w:r w:rsidR="000E7C18" w:rsidRPr="00AC0873">
        <w:rPr>
          <w:iCs/>
          <w:lang w:val="en-GB"/>
        </w:rPr>
        <w:t xml:space="preserve"> </w:t>
      </w:r>
      <w:r w:rsidR="00963B42" w:rsidRPr="00AC0873">
        <w:rPr>
          <w:iCs/>
          <w:lang w:val="en-GB"/>
        </w:rPr>
        <w:t>claims regarding past years would</w:t>
      </w:r>
      <w:r w:rsidR="00834D7E" w:rsidRPr="00AC0873">
        <w:rPr>
          <w:iCs/>
          <w:lang w:val="en-GB"/>
        </w:rPr>
        <w:t xml:space="preserve"> have</w:t>
      </w:r>
      <w:r w:rsidR="00963B42" w:rsidRPr="00AC0873">
        <w:rPr>
          <w:iCs/>
          <w:lang w:val="en-GB"/>
        </w:rPr>
        <w:t xml:space="preserve"> become time-barred.</w:t>
      </w:r>
    </w:p>
    <w:p w:rsidR="00632A2E" w:rsidRDefault="00D40FB9" w:rsidP="009B0194">
      <w:pPr>
        <w:pStyle w:val="ECHRPara"/>
        <w:rPr>
          <w:rFonts w:ascii="Times New Roman" w:eastAsia="Times New Roman" w:hAnsi="Times New Roman" w:cs="Times New Roman"/>
          <w:szCs w:val="20"/>
          <w:lang w:val="en-GB"/>
        </w:rPr>
      </w:pPr>
      <w:r w:rsidRPr="00D40FB9">
        <w:rPr>
          <w:iCs/>
          <w:lang w:val="en-GB"/>
        </w:rPr>
        <w:fldChar w:fldCharType="begin"/>
      </w:r>
      <w:r w:rsidRPr="00D40FB9">
        <w:rPr>
          <w:iCs/>
          <w:lang w:val="en-GB"/>
        </w:rPr>
        <w:instrText xml:space="preserve"> SEQ level0 \*arabic </w:instrText>
      </w:r>
      <w:r w:rsidRPr="00D40FB9">
        <w:rPr>
          <w:iCs/>
          <w:lang w:val="en-GB"/>
        </w:rPr>
        <w:fldChar w:fldCharType="separate"/>
      </w:r>
      <w:r w:rsidR="00D471CA">
        <w:rPr>
          <w:iCs/>
          <w:noProof/>
          <w:lang w:val="en-GB"/>
        </w:rPr>
        <w:t>84</w:t>
      </w:r>
      <w:r w:rsidRPr="00D40FB9">
        <w:rPr>
          <w:iCs/>
          <w:lang w:val="en-GB"/>
        </w:rPr>
        <w:fldChar w:fldCharType="end"/>
      </w:r>
      <w:r w:rsidRPr="00D40FB9">
        <w:rPr>
          <w:iCs/>
          <w:lang w:val="en-GB"/>
        </w:rPr>
        <w:t>.  </w:t>
      </w:r>
      <w:r w:rsidR="004D1F5C">
        <w:rPr>
          <w:iCs/>
          <w:lang w:val="en-GB"/>
        </w:rPr>
        <w:t xml:space="preserve">The Court further notes that it </w:t>
      </w:r>
      <w:r w:rsidR="00907902" w:rsidRPr="00D40FB9">
        <w:rPr>
          <w:iCs/>
          <w:lang w:val="en-GB"/>
        </w:rPr>
        <w:t>can</w:t>
      </w:r>
      <w:r w:rsidR="004D1F5C">
        <w:rPr>
          <w:iCs/>
          <w:lang w:val="en-GB"/>
        </w:rPr>
        <w:t>not</w:t>
      </w:r>
      <w:r w:rsidR="00907902" w:rsidRPr="00D40FB9">
        <w:rPr>
          <w:iCs/>
          <w:lang w:val="en-GB"/>
        </w:rPr>
        <w:t xml:space="preserve"> be said that in the circumstances of the present cases the</w:t>
      </w:r>
      <w:r w:rsidR="00907902">
        <w:rPr>
          <w:iCs/>
          <w:lang w:val="en-GB"/>
        </w:rPr>
        <w:t xml:space="preserve"> applicant companies could have foreseen a reaction by </w:t>
      </w:r>
      <w:r w:rsidR="00F867C4">
        <w:rPr>
          <w:iCs/>
          <w:lang w:val="en-GB"/>
        </w:rPr>
        <w:t>P</w:t>
      </w:r>
      <w:r w:rsidR="00907902">
        <w:rPr>
          <w:iCs/>
          <w:lang w:val="en-GB"/>
        </w:rPr>
        <w:t>arliament (</w:t>
      </w:r>
      <w:r w:rsidR="006D0487">
        <w:rPr>
          <w:iCs/>
          <w:lang w:val="en-GB"/>
        </w:rPr>
        <w:t>contrast with</w:t>
      </w:r>
      <w:r w:rsidR="006D0487" w:rsidRPr="006D0487">
        <w:rPr>
          <w:i/>
          <w:iCs/>
          <w:lang w:val="en-GB"/>
        </w:rPr>
        <w:t xml:space="preserve"> </w:t>
      </w:r>
      <w:r w:rsidR="006D0487" w:rsidRPr="00AC0873">
        <w:rPr>
          <w:i/>
          <w:iCs/>
          <w:lang w:val="en-GB"/>
        </w:rPr>
        <w:t xml:space="preserve">National &amp; </w:t>
      </w:r>
      <w:r w:rsidR="006D0487" w:rsidRPr="00AC0873">
        <w:rPr>
          <w:bCs/>
          <w:i/>
          <w:iCs/>
          <w:lang w:val="en-GB"/>
        </w:rPr>
        <w:t>Provincial</w:t>
      </w:r>
      <w:r w:rsidR="006D0487" w:rsidRPr="00AC0873">
        <w:rPr>
          <w:i/>
          <w:iCs/>
          <w:lang w:val="en-GB"/>
        </w:rPr>
        <w:t xml:space="preserve"> </w:t>
      </w:r>
      <w:r w:rsidR="006D0487" w:rsidRPr="00AC0873">
        <w:rPr>
          <w:bCs/>
          <w:i/>
          <w:iCs/>
          <w:lang w:val="en-GB"/>
        </w:rPr>
        <w:t>Building</w:t>
      </w:r>
      <w:r w:rsidR="006D0487" w:rsidRPr="00AC0873">
        <w:rPr>
          <w:i/>
          <w:iCs/>
          <w:lang w:val="en-GB"/>
        </w:rPr>
        <w:t xml:space="preserve"> </w:t>
      </w:r>
      <w:r w:rsidR="006D0487" w:rsidRPr="00AC0873">
        <w:rPr>
          <w:bCs/>
          <w:i/>
          <w:iCs/>
          <w:lang w:val="en-GB"/>
        </w:rPr>
        <w:t>Society</w:t>
      </w:r>
      <w:r w:rsidR="00907902">
        <w:rPr>
          <w:iCs/>
          <w:lang w:val="en-GB"/>
        </w:rPr>
        <w:t xml:space="preserve">, </w:t>
      </w:r>
      <w:r w:rsidR="006D0487">
        <w:rPr>
          <w:rFonts w:ascii="Times New Roman" w:eastAsia="Times New Roman" w:hAnsi="Times New Roman" w:cs="Times New Roman"/>
          <w:szCs w:val="20"/>
          <w:lang w:val="en-GB"/>
        </w:rPr>
        <w:t>cited above,</w:t>
      </w:r>
      <w:r w:rsidR="00907902">
        <w:rPr>
          <w:rFonts w:ascii="Times New Roman" w:eastAsia="Times New Roman" w:hAnsi="Times New Roman" w:cs="Times New Roman"/>
          <w:szCs w:val="20"/>
          <w:lang w:val="en-GB"/>
        </w:rPr>
        <w:t xml:space="preserve"> </w:t>
      </w:r>
      <w:r w:rsidR="00907902">
        <w:rPr>
          <w:rFonts w:cstheme="minorHAnsi"/>
          <w:lang w:val="en-GB"/>
        </w:rPr>
        <w:t>§</w:t>
      </w:r>
      <w:r w:rsidR="00907902" w:rsidRPr="00000403">
        <w:rPr>
          <w:lang w:val="en-GB"/>
        </w:rPr>
        <w:t xml:space="preserve"> </w:t>
      </w:r>
      <w:r w:rsidR="00907902" w:rsidRPr="00000403">
        <w:rPr>
          <w:rFonts w:ascii="Times New Roman" w:eastAsia="Times New Roman" w:hAnsi="Times New Roman" w:cs="Times New Roman"/>
          <w:szCs w:val="20"/>
          <w:lang w:val="en-GB"/>
        </w:rPr>
        <w:t xml:space="preserve">112 and </w:t>
      </w:r>
      <w:r w:rsidR="00907902" w:rsidRPr="00000403">
        <w:rPr>
          <w:rFonts w:ascii="Times New Roman" w:eastAsia="Times New Roman" w:hAnsi="Times New Roman" w:cs="Times New Roman"/>
          <w:i/>
          <w:szCs w:val="20"/>
          <w:lang w:val="en-GB"/>
        </w:rPr>
        <w:t>OGIS-Institut Stanislas, OGEC Saint-Pie X and Blanche de Castille and Others</w:t>
      </w:r>
      <w:r w:rsidR="00907902" w:rsidRPr="00000403">
        <w:rPr>
          <w:rFonts w:ascii="Times New Roman" w:eastAsia="Times New Roman" w:hAnsi="Times New Roman" w:cs="Times New Roman"/>
          <w:szCs w:val="20"/>
          <w:lang w:val="en-GB"/>
        </w:rPr>
        <w:t>,</w:t>
      </w:r>
      <w:r w:rsidR="003C5598">
        <w:rPr>
          <w:rFonts w:ascii="Times New Roman" w:eastAsia="Times New Roman" w:hAnsi="Times New Roman" w:cs="Times New Roman"/>
          <w:szCs w:val="20"/>
          <w:lang w:val="en-GB"/>
        </w:rPr>
        <w:t xml:space="preserve"> cited above,</w:t>
      </w:r>
      <w:r w:rsidR="00907902" w:rsidRPr="00000403">
        <w:rPr>
          <w:rFonts w:ascii="Times New Roman" w:eastAsia="Times New Roman" w:hAnsi="Times New Roman" w:cs="Times New Roman"/>
          <w:szCs w:val="20"/>
          <w:lang w:val="en-GB"/>
        </w:rPr>
        <w:t xml:space="preserve"> </w:t>
      </w:r>
      <w:r w:rsidR="00907902">
        <w:rPr>
          <w:rFonts w:cstheme="minorHAnsi"/>
          <w:lang w:val="en-GB"/>
        </w:rPr>
        <w:t>§ 72</w:t>
      </w:r>
      <w:r w:rsidR="00907902" w:rsidRPr="00000403">
        <w:rPr>
          <w:rFonts w:ascii="Times New Roman" w:eastAsia="Times New Roman" w:hAnsi="Times New Roman" w:cs="Times New Roman"/>
          <w:szCs w:val="20"/>
          <w:lang w:val="en-GB"/>
        </w:rPr>
        <w:t>).</w:t>
      </w:r>
      <w:r w:rsidR="00907902">
        <w:rPr>
          <w:rFonts w:ascii="Times New Roman" w:eastAsia="Times New Roman" w:hAnsi="Times New Roman" w:cs="Times New Roman"/>
          <w:szCs w:val="20"/>
          <w:lang w:val="en-GB"/>
        </w:rPr>
        <w:t xml:space="preserve"> Indeed</w:t>
      </w:r>
      <w:r w:rsidR="00B27720">
        <w:rPr>
          <w:rFonts w:ascii="Times New Roman" w:eastAsia="Times New Roman" w:hAnsi="Times New Roman" w:cs="Times New Roman"/>
          <w:szCs w:val="20"/>
          <w:lang w:val="en-GB"/>
        </w:rPr>
        <w:t>,</w:t>
      </w:r>
      <w:r w:rsidR="00907902">
        <w:rPr>
          <w:rFonts w:ascii="Times New Roman" w:eastAsia="Times New Roman" w:hAnsi="Times New Roman" w:cs="Times New Roman"/>
          <w:szCs w:val="20"/>
          <w:lang w:val="en-GB"/>
        </w:rPr>
        <w:t xml:space="preserve"> </w:t>
      </w:r>
      <w:r w:rsidR="00EE2F44" w:rsidRPr="00AC0873">
        <w:rPr>
          <w:rFonts w:ascii="Times New Roman" w:eastAsia="Times New Roman" w:hAnsi="Times New Roman" w:cs="Times New Roman"/>
          <w:szCs w:val="20"/>
          <w:lang w:val="en-GB"/>
        </w:rPr>
        <w:t xml:space="preserve">the legislator had not manifested such </w:t>
      </w:r>
      <w:r w:rsidR="00514476">
        <w:rPr>
          <w:rFonts w:ascii="Times New Roman" w:eastAsia="Times New Roman" w:hAnsi="Times New Roman" w:cs="Times New Roman"/>
          <w:szCs w:val="20"/>
          <w:lang w:val="en-GB"/>
        </w:rPr>
        <w:t xml:space="preserve">an </w:t>
      </w:r>
      <w:r w:rsidR="00EE2F44" w:rsidRPr="00AC0873">
        <w:rPr>
          <w:rFonts w:ascii="Times New Roman" w:eastAsia="Times New Roman" w:hAnsi="Times New Roman" w:cs="Times New Roman"/>
          <w:szCs w:val="20"/>
          <w:lang w:val="en-GB"/>
        </w:rPr>
        <w:t xml:space="preserve">intention when the Court of Cassation delivered a final judgment for the first time on the matter in the case of </w:t>
      </w:r>
      <w:r w:rsidR="00EE2F44" w:rsidRPr="00AC0873">
        <w:rPr>
          <w:snapToGrid w:val="0"/>
          <w:lang w:val="en-GB"/>
        </w:rPr>
        <w:t xml:space="preserve">Floramiata Spa. Neither did </w:t>
      </w:r>
      <w:r w:rsidR="00514476">
        <w:rPr>
          <w:snapToGrid w:val="0"/>
          <w:lang w:val="en-GB"/>
        </w:rPr>
        <w:t>P</w:t>
      </w:r>
      <w:r w:rsidR="00EE2F44" w:rsidRPr="00AC0873">
        <w:rPr>
          <w:snapToGrid w:val="0"/>
          <w:lang w:val="en-GB"/>
        </w:rPr>
        <w:t xml:space="preserve">arliament manifest such </w:t>
      </w:r>
      <w:r w:rsidR="00514476">
        <w:rPr>
          <w:snapToGrid w:val="0"/>
          <w:lang w:val="en-GB"/>
        </w:rPr>
        <w:t xml:space="preserve">an </w:t>
      </w:r>
      <w:r w:rsidR="00EE2F44" w:rsidRPr="00AC0873">
        <w:rPr>
          <w:snapToGrid w:val="0"/>
          <w:lang w:val="en-GB"/>
        </w:rPr>
        <w:t xml:space="preserve">intention at any point in </w:t>
      </w:r>
      <w:r w:rsidR="00EE2F44" w:rsidRPr="00AC0873">
        <w:rPr>
          <w:rFonts w:ascii="Times New Roman" w:eastAsia="Times New Roman" w:hAnsi="Times New Roman" w:cs="Times New Roman"/>
          <w:szCs w:val="20"/>
          <w:lang w:val="en-GB"/>
        </w:rPr>
        <w:t>the three years that followed the first</w:t>
      </w:r>
      <w:r w:rsidR="00514476">
        <w:rPr>
          <w:rFonts w:ascii="Times New Roman" w:eastAsia="Times New Roman" w:hAnsi="Times New Roman" w:cs="Times New Roman"/>
          <w:szCs w:val="20"/>
          <w:lang w:val="en-GB"/>
        </w:rPr>
        <w:t xml:space="preserve"> </w:t>
      </w:r>
      <w:r w:rsidR="00EE2F44" w:rsidRPr="00AC0873">
        <w:rPr>
          <w:rFonts w:ascii="Times New Roman" w:eastAsia="Times New Roman" w:hAnsi="Times New Roman" w:cs="Times New Roman"/>
          <w:szCs w:val="20"/>
          <w:lang w:val="en-GB"/>
        </w:rPr>
        <w:t>final judgment on the matter</w:t>
      </w:r>
      <w:r w:rsidR="00AC0873" w:rsidRPr="00AC0873">
        <w:rPr>
          <w:rFonts w:ascii="Times New Roman" w:eastAsia="Times New Roman" w:hAnsi="Times New Roman" w:cs="Times New Roman"/>
          <w:szCs w:val="20"/>
          <w:lang w:val="en-GB"/>
        </w:rPr>
        <w:t>, years during which other companies were successful in their proceedings</w:t>
      </w:r>
      <w:r w:rsidR="00EE2F44" w:rsidRPr="00AC0873">
        <w:rPr>
          <w:rFonts w:ascii="Times New Roman" w:eastAsia="Times New Roman" w:hAnsi="Times New Roman" w:cs="Times New Roman"/>
          <w:szCs w:val="20"/>
          <w:lang w:val="en-GB"/>
        </w:rPr>
        <w:t>.</w:t>
      </w:r>
      <w:r w:rsidR="00EE2F44">
        <w:rPr>
          <w:rFonts w:ascii="Times New Roman" w:eastAsia="Times New Roman" w:hAnsi="Times New Roman" w:cs="Times New Roman"/>
          <w:szCs w:val="20"/>
          <w:lang w:val="en-GB"/>
        </w:rPr>
        <w:t xml:space="preserve"> </w:t>
      </w:r>
      <w:r w:rsidR="00EE2F44" w:rsidRPr="00AC0873">
        <w:rPr>
          <w:rFonts w:ascii="Times New Roman" w:eastAsia="Times New Roman" w:hAnsi="Times New Roman" w:cs="Times New Roman"/>
          <w:szCs w:val="20"/>
          <w:lang w:val="en-GB"/>
        </w:rPr>
        <w:t xml:space="preserve">Moreover, </w:t>
      </w:r>
      <w:r>
        <w:rPr>
          <w:rFonts w:ascii="Times New Roman" w:eastAsia="Times New Roman" w:hAnsi="Times New Roman" w:cs="Times New Roman"/>
          <w:szCs w:val="20"/>
          <w:lang w:val="en-GB"/>
        </w:rPr>
        <w:t>if</w:t>
      </w:r>
      <w:r w:rsidR="00834D7E">
        <w:rPr>
          <w:rFonts w:ascii="Times New Roman" w:eastAsia="Times New Roman" w:hAnsi="Times New Roman" w:cs="Times New Roman"/>
          <w:szCs w:val="20"/>
          <w:lang w:val="en-GB"/>
        </w:rPr>
        <w:t>,</w:t>
      </w:r>
      <w:r>
        <w:rPr>
          <w:rFonts w:ascii="Times New Roman" w:eastAsia="Times New Roman" w:hAnsi="Times New Roman" w:cs="Times New Roman"/>
          <w:szCs w:val="20"/>
          <w:lang w:val="en-GB"/>
        </w:rPr>
        <w:t xml:space="preserve"> as</w:t>
      </w:r>
      <w:r w:rsidR="00F867C4">
        <w:rPr>
          <w:rFonts w:ascii="Times New Roman" w:eastAsia="Times New Roman" w:hAnsi="Times New Roman" w:cs="Times New Roman"/>
          <w:szCs w:val="20"/>
          <w:lang w:val="en-GB"/>
        </w:rPr>
        <w:t xml:space="preserve"> </w:t>
      </w:r>
      <w:r w:rsidR="00695E76">
        <w:rPr>
          <w:rFonts w:ascii="Times New Roman" w:eastAsia="Times New Roman" w:hAnsi="Times New Roman" w:cs="Times New Roman"/>
          <w:szCs w:val="20"/>
          <w:lang w:val="en-GB"/>
        </w:rPr>
        <w:t>proclaimed</w:t>
      </w:r>
      <w:r w:rsidR="00F867C4">
        <w:rPr>
          <w:rFonts w:ascii="Times New Roman" w:eastAsia="Times New Roman" w:hAnsi="Times New Roman" w:cs="Times New Roman"/>
          <w:szCs w:val="20"/>
          <w:lang w:val="en-GB"/>
        </w:rPr>
        <w:t xml:space="preserve"> </w:t>
      </w:r>
      <w:r w:rsidR="00907902">
        <w:rPr>
          <w:rFonts w:ascii="Times New Roman" w:eastAsia="Times New Roman" w:hAnsi="Times New Roman" w:cs="Times New Roman"/>
          <w:szCs w:val="20"/>
          <w:lang w:val="en-GB"/>
        </w:rPr>
        <w:t>by the Government and the Court of Cassation</w:t>
      </w:r>
      <w:r w:rsidR="00514476">
        <w:rPr>
          <w:rFonts w:ascii="Times New Roman" w:eastAsia="Times New Roman" w:hAnsi="Times New Roman" w:cs="Times New Roman"/>
          <w:szCs w:val="20"/>
          <w:lang w:val="en-GB"/>
        </w:rPr>
        <w:t>,</w:t>
      </w:r>
      <w:r w:rsidR="00907902">
        <w:rPr>
          <w:rFonts w:ascii="Times New Roman" w:eastAsia="Times New Roman" w:hAnsi="Times New Roman" w:cs="Times New Roman"/>
          <w:szCs w:val="20"/>
          <w:lang w:val="en-GB"/>
        </w:rPr>
        <w:t xml:space="preserve"> </w:t>
      </w:r>
      <w:r w:rsidR="00F867C4">
        <w:rPr>
          <w:rFonts w:ascii="Times New Roman" w:eastAsia="Times New Roman" w:hAnsi="Times New Roman" w:cs="Times New Roman"/>
          <w:szCs w:val="20"/>
          <w:lang w:val="en-GB"/>
        </w:rPr>
        <w:t>there was more than one possible interpretation</w:t>
      </w:r>
      <w:r w:rsidR="00907902">
        <w:rPr>
          <w:rFonts w:ascii="Times New Roman" w:eastAsia="Times New Roman" w:hAnsi="Times New Roman" w:cs="Times New Roman"/>
          <w:szCs w:val="20"/>
          <w:lang w:val="en-GB"/>
        </w:rPr>
        <w:t xml:space="preserve"> </w:t>
      </w:r>
      <w:r w:rsidR="00514476">
        <w:rPr>
          <w:rFonts w:ascii="Times New Roman" w:eastAsia="Times New Roman" w:hAnsi="Times New Roman" w:cs="Times New Roman"/>
          <w:szCs w:val="20"/>
          <w:lang w:val="en-GB"/>
        </w:rPr>
        <w:t xml:space="preserve">of </w:t>
      </w:r>
      <w:r w:rsidR="00907902">
        <w:rPr>
          <w:rFonts w:ascii="Times New Roman" w:eastAsia="Times New Roman" w:hAnsi="Times New Roman" w:cs="Times New Roman"/>
          <w:szCs w:val="20"/>
          <w:lang w:val="en-GB"/>
        </w:rPr>
        <w:t>the</w:t>
      </w:r>
      <w:r w:rsidR="002B2B0A">
        <w:rPr>
          <w:rFonts w:ascii="Times New Roman" w:eastAsia="Times New Roman" w:hAnsi="Times New Roman" w:cs="Times New Roman"/>
          <w:szCs w:val="20"/>
          <w:lang w:val="en-GB"/>
        </w:rPr>
        <w:t xml:space="preserve"> original</w:t>
      </w:r>
      <w:r w:rsidR="00907902">
        <w:rPr>
          <w:rFonts w:ascii="Times New Roman" w:eastAsia="Times New Roman" w:hAnsi="Times New Roman" w:cs="Times New Roman"/>
          <w:szCs w:val="20"/>
          <w:lang w:val="en-GB"/>
        </w:rPr>
        <w:t xml:space="preserve"> law</w:t>
      </w:r>
      <w:r w:rsidR="002B2B0A">
        <w:rPr>
          <w:rFonts w:ascii="Times New Roman" w:eastAsia="Times New Roman" w:hAnsi="Times New Roman" w:cs="Times New Roman"/>
          <w:szCs w:val="20"/>
          <w:lang w:val="en-GB"/>
        </w:rPr>
        <w:t>s</w:t>
      </w:r>
      <w:r>
        <w:rPr>
          <w:rFonts w:ascii="Times New Roman" w:eastAsia="Times New Roman" w:hAnsi="Times New Roman" w:cs="Times New Roman"/>
          <w:szCs w:val="20"/>
          <w:lang w:val="en-GB"/>
        </w:rPr>
        <w:t>, i</w:t>
      </w:r>
      <w:r w:rsidR="00907902">
        <w:rPr>
          <w:rFonts w:ascii="Times New Roman" w:eastAsia="Times New Roman" w:hAnsi="Times New Roman" w:cs="Times New Roman"/>
          <w:szCs w:val="20"/>
          <w:lang w:val="en-GB"/>
        </w:rPr>
        <w:t xml:space="preserve">t </w:t>
      </w:r>
      <w:r>
        <w:rPr>
          <w:rFonts w:ascii="Times New Roman" w:eastAsia="Times New Roman" w:hAnsi="Times New Roman" w:cs="Times New Roman"/>
          <w:szCs w:val="20"/>
          <w:lang w:val="en-GB"/>
        </w:rPr>
        <w:t xml:space="preserve">would have been </w:t>
      </w:r>
      <w:r w:rsidR="00B27720">
        <w:rPr>
          <w:rFonts w:ascii="Times New Roman" w:eastAsia="Times New Roman" w:hAnsi="Times New Roman" w:cs="Times New Roman"/>
          <w:szCs w:val="20"/>
          <w:lang w:val="en-GB"/>
        </w:rPr>
        <w:t>entire</w:t>
      </w:r>
      <w:r w:rsidR="00907902">
        <w:rPr>
          <w:rFonts w:ascii="Times New Roman" w:eastAsia="Times New Roman" w:hAnsi="Times New Roman" w:cs="Times New Roman"/>
          <w:szCs w:val="20"/>
          <w:lang w:val="en-GB"/>
        </w:rPr>
        <w:t>ly reasonable for the applicant</w:t>
      </w:r>
      <w:r w:rsidR="00064F2E">
        <w:rPr>
          <w:rFonts w:ascii="Times New Roman" w:eastAsia="Times New Roman" w:hAnsi="Times New Roman" w:cs="Times New Roman"/>
          <w:szCs w:val="20"/>
          <w:lang w:val="en-GB"/>
        </w:rPr>
        <w:t xml:space="preserve"> companie</w:t>
      </w:r>
      <w:r w:rsidR="00907902">
        <w:rPr>
          <w:rFonts w:ascii="Times New Roman" w:eastAsia="Times New Roman" w:hAnsi="Times New Roman" w:cs="Times New Roman"/>
          <w:szCs w:val="20"/>
          <w:lang w:val="en-GB"/>
        </w:rPr>
        <w:t>s to believe</w:t>
      </w:r>
      <w:r w:rsidR="00B27720">
        <w:rPr>
          <w:rFonts w:ascii="Times New Roman" w:eastAsia="Times New Roman" w:hAnsi="Times New Roman" w:cs="Times New Roman"/>
          <w:szCs w:val="20"/>
          <w:lang w:val="en-GB"/>
        </w:rPr>
        <w:t xml:space="preserve"> </w:t>
      </w:r>
      <w:r w:rsidR="002B2B0A">
        <w:rPr>
          <w:rFonts w:ascii="Times New Roman" w:eastAsia="Times New Roman" w:hAnsi="Times New Roman" w:cs="Times New Roman"/>
          <w:szCs w:val="20"/>
          <w:lang w:val="en-GB"/>
        </w:rPr>
        <w:t>that</w:t>
      </w:r>
      <w:r w:rsidR="00907902">
        <w:rPr>
          <w:rFonts w:ascii="Times New Roman" w:eastAsia="Times New Roman" w:hAnsi="Times New Roman" w:cs="Times New Roman"/>
          <w:szCs w:val="20"/>
          <w:lang w:val="en-GB"/>
        </w:rPr>
        <w:t xml:space="preserve"> the interpretation most favourable to them</w:t>
      </w:r>
      <w:r w:rsidR="002B2B0A">
        <w:rPr>
          <w:rFonts w:ascii="Times New Roman" w:eastAsia="Times New Roman" w:hAnsi="Times New Roman" w:cs="Times New Roman"/>
          <w:szCs w:val="20"/>
          <w:lang w:val="en-GB"/>
        </w:rPr>
        <w:t>,</w:t>
      </w:r>
      <w:r w:rsidR="00907902">
        <w:rPr>
          <w:rFonts w:ascii="Times New Roman" w:eastAsia="Times New Roman" w:hAnsi="Times New Roman" w:cs="Times New Roman"/>
          <w:szCs w:val="20"/>
          <w:lang w:val="en-GB"/>
        </w:rPr>
        <w:t xml:space="preserve"> as </w:t>
      </w:r>
      <w:r w:rsidR="00F867C4">
        <w:rPr>
          <w:rFonts w:ascii="Times New Roman" w:eastAsia="Times New Roman" w:hAnsi="Times New Roman" w:cs="Times New Roman"/>
          <w:szCs w:val="20"/>
          <w:lang w:val="en-GB"/>
        </w:rPr>
        <w:t xml:space="preserve">continually </w:t>
      </w:r>
      <w:r>
        <w:rPr>
          <w:rFonts w:ascii="Times New Roman" w:eastAsia="Times New Roman" w:hAnsi="Times New Roman" w:cs="Times New Roman"/>
          <w:szCs w:val="20"/>
          <w:lang w:val="en-GB"/>
        </w:rPr>
        <w:t>upheld by the domestic courts</w:t>
      </w:r>
      <w:r w:rsidR="00514476">
        <w:rPr>
          <w:rFonts w:ascii="Times New Roman" w:eastAsia="Times New Roman" w:hAnsi="Times New Roman" w:cs="Times New Roman"/>
          <w:szCs w:val="20"/>
          <w:lang w:val="en-GB"/>
        </w:rPr>
        <w:t>,</w:t>
      </w:r>
      <w:r>
        <w:rPr>
          <w:rFonts w:ascii="Times New Roman" w:eastAsia="Times New Roman" w:hAnsi="Times New Roman" w:cs="Times New Roman"/>
          <w:szCs w:val="20"/>
          <w:lang w:val="en-GB"/>
        </w:rPr>
        <w:t xml:space="preserve"> </w:t>
      </w:r>
      <w:r w:rsidR="002B2B0A">
        <w:rPr>
          <w:rFonts w:ascii="Times New Roman" w:eastAsia="Times New Roman" w:hAnsi="Times New Roman" w:cs="Times New Roman"/>
          <w:szCs w:val="20"/>
          <w:lang w:val="en-GB"/>
        </w:rPr>
        <w:t>was in fact the legislator</w:t>
      </w:r>
      <w:r w:rsidR="00864D90">
        <w:rPr>
          <w:rFonts w:ascii="Times New Roman" w:eastAsia="Times New Roman" w:hAnsi="Times New Roman" w:cs="Times New Roman"/>
          <w:szCs w:val="20"/>
          <w:lang w:val="en-GB"/>
        </w:rPr>
        <w:t>’</w:t>
      </w:r>
      <w:r w:rsidR="002B2B0A">
        <w:rPr>
          <w:rFonts w:ascii="Times New Roman" w:eastAsia="Times New Roman" w:hAnsi="Times New Roman" w:cs="Times New Roman"/>
          <w:szCs w:val="20"/>
          <w:lang w:val="en-GB"/>
        </w:rPr>
        <w:t xml:space="preserve">s intention </w:t>
      </w:r>
      <w:r w:rsidR="00907902">
        <w:rPr>
          <w:rFonts w:ascii="Times New Roman" w:eastAsia="Times New Roman" w:hAnsi="Times New Roman" w:cs="Times New Roman"/>
          <w:szCs w:val="20"/>
          <w:lang w:val="en-GB"/>
        </w:rPr>
        <w:t>and that</w:t>
      </w:r>
      <w:r w:rsidR="00DE4AFF">
        <w:rPr>
          <w:rFonts w:ascii="Times New Roman" w:eastAsia="Times New Roman" w:hAnsi="Times New Roman" w:cs="Times New Roman"/>
          <w:szCs w:val="20"/>
          <w:lang w:val="en-GB"/>
        </w:rPr>
        <w:t>,</w:t>
      </w:r>
      <w:r w:rsidR="00907902">
        <w:rPr>
          <w:rFonts w:ascii="Times New Roman" w:eastAsia="Times New Roman" w:hAnsi="Times New Roman" w:cs="Times New Roman"/>
          <w:szCs w:val="20"/>
          <w:lang w:val="en-GB"/>
        </w:rPr>
        <w:t xml:space="preserve"> therefore</w:t>
      </w:r>
      <w:r w:rsidR="00DE4AFF">
        <w:rPr>
          <w:rFonts w:ascii="Times New Roman" w:eastAsia="Times New Roman" w:hAnsi="Times New Roman" w:cs="Times New Roman"/>
          <w:szCs w:val="20"/>
          <w:lang w:val="en-GB"/>
        </w:rPr>
        <w:t>,</w:t>
      </w:r>
      <w:r w:rsidR="00907902">
        <w:rPr>
          <w:rFonts w:ascii="Times New Roman" w:eastAsia="Times New Roman" w:hAnsi="Times New Roman" w:cs="Times New Roman"/>
          <w:szCs w:val="20"/>
          <w:lang w:val="en-GB"/>
        </w:rPr>
        <w:t xml:space="preserve"> there be no </w:t>
      </w:r>
      <w:r w:rsidR="00A2573C">
        <w:rPr>
          <w:rFonts w:ascii="Times New Roman" w:eastAsia="Times New Roman" w:hAnsi="Times New Roman" w:cs="Times New Roman"/>
          <w:szCs w:val="20"/>
          <w:lang w:val="en-GB"/>
        </w:rPr>
        <w:t xml:space="preserve">reason to expect a </w:t>
      </w:r>
      <w:r w:rsidR="00F36FA0">
        <w:rPr>
          <w:rFonts w:ascii="Times New Roman" w:eastAsia="Times New Roman" w:hAnsi="Times New Roman" w:cs="Times New Roman"/>
          <w:szCs w:val="20"/>
          <w:lang w:val="en-GB"/>
        </w:rPr>
        <w:t>re</w:t>
      </w:r>
      <w:r w:rsidR="00907902">
        <w:rPr>
          <w:rFonts w:ascii="Times New Roman" w:eastAsia="Times New Roman" w:hAnsi="Times New Roman" w:cs="Times New Roman"/>
          <w:szCs w:val="20"/>
          <w:lang w:val="en-GB"/>
        </w:rPr>
        <w:t>action</w:t>
      </w:r>
      <w:r w:rsidR="00A2573C">
        <w:rPr>
          <w:rFonts w:ascii="Times New Roman" w:eastAsia="Times New Roman" w:hAnsi="Times New Roman" w:cs="Times New Roman"/>
          <w:szCs w:val="20"/>
          <w:lang w:val="en-GB"/>
        </w:rPr>
        <w:t xml:space="preserve"> by the authorities</w:t>
      </w:r>
      <w:r w:rsidR="00907902">
        <w:rPr>
          <w:rFonts w:ascii="Times New Roman" w:eastAsia="Times New Roman" w:hAnsi="Times New Roman" w:cs="Times New Roman"/>
          <w:szCs w:val="20"/>
          <w:lang w:val="en-GB"/>
        </w:rPr>
        <w:t xml:space="preserve"> trying to amend the state of affairs.</w:t>
      </w:r>
    </w:p>
    <w:p w:rsidR="00632A2E" w:rsidRDefault="00AC0873" w:rsidP="009B0194">
      <w:pPr>
        <w:pStyle w:val="ECHRPara"/>
        <w:rPr>
          <w:rFonts w:ascii="Times New Roman" w:eastAsia="Times New Roman" w:hAnsi="Times New Roman" w:cs="Times New Roman"/>
          <w:szCs w:val="20"/>
          <w:lang w:val="en-GB"/>
        </w:rPr>
      </w:pPr>
      <w:r>
        <w:rPr>
          <w:rFonts w:ascii="Times New Roman" w:eastAsia="Times New Roman" w:hAnsi="Times New Roman" w:cs="Times New Roman"/>
          <w:szCs w:val="20"/>
          <w:lang w:val="en-GB"/>
        </w:rPr>
        <w:fldChar w:fldCharType="begin"/>
      </w:r>
      <w:r>
        <w:rPr>
          <w:rFonts w:ascii="Times New Roman" w:eastAsia="Times New Roman" w:hAnsi="Times New Roman" w:cs="Times New Roman"/>
          <w:szCs w:val="20"/>
          <w:lang w:val="en-GB"/>
        </w:rPr>
        <w:instrText xml:space="preserve"> SEQ level0 \*arabic </w:instrText>
      </w:r>
      <w:r>
        <w:rPr>
          <w:rFonts w:ascii="Times New Roman" w:eastAsia="Times New Roman" w:hAnsi="Times New Roman" w:cs="Times New Roman"/>
          <w:szCs w:val="20"/>
          <w:lang w:val="en-GB"/>
        </w:rPr>
        <w:fldChar w:fldCharType="separate"/>
      </w:r>
      <w:r w:rsidR="00D471CA">
        <w:rPr>
          <w:rFonts w:ascii="Times New Roman" w:eastAsia="Times New Roman" w:hAnsi="Times New Roman" w:cs="Times New Roman"/>
          <w:noProof/>
          <w:szCs w:val="20"/>
          <w:lang w:val="en-GB"/>
        </w:rPr>
        <w:t>85</w:t>
      </w:r>
      <w:r>
        <w:rPr>
          <w:rFonts w:ascii="Times New Roman" w:eastAsia="Times New Roman" w:hAnsi="Times New Roman" w:cs="Times New Roman"/>
          <w:szCs w:val="20"/>
          <w:lang w:val="en-GB"/>
        </w:rPr>
        <w:fldChar w:fldCharType="end"/>
      </w:r>
      <w:r>
        <w:rPr>
          <w:rFonts w:ascii="Times New Roman" w:eastAsia="Times New Roman" w:hAnsi="Times New Roman" w:cs="Times New Roman"/>
          <w:szCs w:val="20"/>
          <w:lang w:val="en-GB"/>
        </w:rPr>
        <w:t>.  </w:t>
      </w:r>
      <w:r w:rsidR="00907902">
        <w:rPr>
          <w:rFonts w:ascii="Times New Roman" w:eastAsia="Times New Roman" w:hAnsi="Times New Roman" w:cs="Times New Roman"/>
          <w:szCs w:val="20"/>
          <w:lang w:val="en-GB"/>
        </w:rPr>
        <w:t>It must be borne in mind that the relevant laws providing for such benefits were aimed at promoting the agricultural industry and helping</w:t>
      </w:r>
      <w:r w:rsidR="00434F1D">
        <w:rPr>
          <w:rFonts w:ascii="Times New Roman" w:eastAsia="Times New Roman" w:hAnsi="Times New Roman" w:cs="Times New Roman"/>
          <w:szCs w:val="20"/>
          <w:lang w:val="en-GB"/>
        </w:rPr>
        <w:t xml:space="preserve"> firms which were</w:t>
      </w:r>
      <w:r w:rsidR="00907902">
        <w:rPr>
          <w:rFonts w:ascii="Times New Roman" w:eastAsia="Times New Roman" w:hAnsi="Times New Roman" w:cs="Times New Roman"/>
          <w:szCs w:val="20"/>
          <w:lang w:val="en-GB"/>
        </w:rPr>
        <w:t xml:space="preserve"> </w:t>
      </w:r>
      <w:r w:rsidR="00434F1D">
        <w:rPr>
          <w:rFonts w:ascii="Times New Roman" w:eastAsia="Times New Roman" w:hAnsi="Times New Roman" w:cs="Times New Roman"/>
          <w:szCs w:val="20"/>
          <w:lang w:val="en-GB"/>
        </w:rPr>
        <w:t>in need</w:t>
      </w:r>
      <w:r w:rsidR="002B2B0A">
        <w:rPr>
          <w:rFonts w:ascii="Times New Roman" w:eastAsia="Times New Roman" w:hAnsi="Times New Roman" w:cs="Times New Roman"/>
          <w:szCs w:val="20"/>
          <w:lang w:val="en-GB"/>
        </w:rPr>
        <w:t xml:space="preserve"> </w:t>
      </w:r>
      <w:r w:rsidR="00DE4AFF">
        <w:rPr>
          <w:rFonts w:ascii="Times New Roman" w:eastAsia="Times New Roman" w:hAnsi="Times New Roman" w:cs="Times New Roman"/>
          <w:szCs w:val="20"/>
          <w:lang w:val="en-GB"/>
        </w:rPr>
        <w:t>for one reason</w:t>
      </w:r>
      <w:r w:rsidR="00B27720">
        <w:rPr>
          <w:rFonts w:ascii="Times New Roman" w:eastAsia="Times New Roman" w:hAnsi="Times New Roman" w:cs="Times New Roman"/>
          <w:szCs w:val="20"/>
          <w:lang w:val="en-GB"/>
        </w:rPr>
        <w:t xml:space="preserve"> </w:t>
      </w:r>
      <w:r w:rsidR="00DE4AFF">
        <w:rPr>
          <w:rFonts w:ascii="Times New Roman" w:eastAsia="Times New Roman" w:hAnsi="Times New Roman" w:cs="Times New Roman"/>
          <w:szCs w:val="20"/>
          <w:lang w:val="en-GB"/>
        </w:rPr>
        <w:t>or an</w:t>
      </w:r>
      <w:r w:rsidR="00434F1D">
        <w:rPr>
          <w:rFonts w:ascii="Times New Roman" w:eastAsia="Times New Roman" w:hAnsi="Times New Roman" w:cs="Times New Roman"/>
          <w:szCs w:val="20"/>
          <w:lang w:val="en-GB"/>
        </w:rPr>
        <w:t>other</w:t>
      </w:r>
      <w:r w:rsidR="00B27720">
        <w:rPr>
          <w:rFonts w:ascii="Times New Roman" w:eastAsia="Times New Roman" w:hAnsi="Times New Roman" w:cs="Times New Roman"/>
          <w:szCs w:val="20"/>
          <w:lang w:val="en-GB"/>
        </w:rPr>
        <w:t>,</w:t>
      </w:r>
      <w:r w:rsidR="00434F1D">
        <w:rPr>
          <w:rFonts w:ascii="Times New Roman" w:eastAsia="Times New Roman" w:hAnsi="Times New Roman" w:cs="Times New Roman"/>
          <w:szCs w:val="20"/>
          <w:lang w:val="en-GB"/>
        </w:rPr>
        <w:t xml:space="preserve"> </w:t>
      </w:r>
      <w:r w:rsidR="00D40FB9">
        <w:rPr>
          <w:rFonts w:ascii="Times New Roman" w:eastAsia="Times New Roman" w:hAnsi="Times New Roman" w:cs="Times New Roman"/>
          <w:szCs w:val="20"/>
          <w:lang w:val="en-GB"/>
        </w:rPr>
        <w:t>in so far as they</w:t>
      </w:r>
      <w:r w:rsidR="002B2B0A">
        <w:rPr>
          <w:rFonts w:ascii="Times New Roman" w:eastAsia="Times New Roman" w:hAnsi="Times New Roman" w:cs="Times New Roman"/>
          <w:szCs w:val="20"/>
          <w:lang w:val="en-GB"/>
        </w:rPr>
        <w:t xml:space="preserve"> fulfilled</w:t>
      </w:r>
      <w:r w:rsidR="00907902">
        <w:rPr>
          <w:rFonts w:ascii="Times New Roman" w:eastAsia="Times New Roman" w:hAnsi="Times New Roman" w:cs="Times New Roman"/>
          <w:szCs w:val="20"/>
          <w:lang w:val="en-GB"/>
        </w:rPr>
        <w:t xml:space="preserve"> </w:t>
      </w:r>
      <w:r w:rsidR="00DE4AFF">
        <w:rPr>
          <w:rFonts w:ascii="Times New Roman" w:eastAsia="Times New Roman" w:hAnsi="Times New Roman" w:cs="Times New Roman"/>
          <w:szCs w:val="20"/>
          <w:lang w:val="en-GB"/>
        </w:rPr>
        <w:t>the relevant</w:t>
      </w:r>
      <w:r w:rsidR="00907902">
        <w:rPr>
          <w:rFonts w:ascii="Times New Roman" w:eastAsia="Times New Roman" w:hAnsi="Times New Roman" w:cs="Times New Roman"/>
          <w:szCs w:val="20"/>
          <w:lang w:val="en-GB"/>
        </w:rPr>
        <w:t xml:space="preserve"> criteria. </w:t>
      </w:r>
      <w:r w:rsidR="002B2B0A">
        <w:rPr>
          <w:rFonts w:ascii="Times New Roman" w:eastAsia="Times New Roman" w:hAnsi="Times New Roman" w:cs="Times New Roman"/>
          <w:szCs w:val="20"/>
          <w:lang w:val="en-GB"/>
        </w:rPr>
        <w:t>It follows that it would</w:t>
      </w:r>
      <w:r w:rsidR="004D1F5C">
        <w:rPr>
          <w:rFonts w:ascii="Times New Roman" w:eastAsia="Times New Roman" w:hAnsi="Times New Roman" w:cs="Times New Roman"/>
          <w:szCs w:val="20"/>
          <w:lang w:val="en-GB"/>
        </w:rPr>
        <w:t xml:space="preserve"> not</w:t>
      </w:r>
      <w:r w:rsidR="002B2B0A">
        <w:rPr>
          <w:rFonts w:ascii="Times New Roman" w:eastAsia="Times New Roman" w:hAnsi="Times New Roman" w:cs="Times New Roman"/>
          <w:szCs w:val="20"/>
          <w:lang w:val="en-GB"/>
        </w:rPr>
        <w:t xml:space="preserve"> have been </w:t>
      </w:r>
      <w:r w:rsidR="004D1F5C">
        <w:rPr>
          <w:rFonts w:ascii="Times New Roman" w:eastAsia="Times New Roman" w:hAnsi="Times New Roman" w:cs="Times New Roman"/>
          <w:szCs w:val="20"/>
          <w:lang w:val="en-GB"/>
        </w:rPr>
        <w:t>un</w:t>
      </w:r>
      <w:r w:rsidR="00F867C4">
        <w:rPr>
          <w:rFonts w:ascii="Times New Roman" w:eastAsia="Times New Roman" w:hAnsi="Times New Roman" w:cs="Times New Roman"/>
          <w:szCs w:val="20"/>
          <w:lang w:val="en-GB"/>
        </w:rPr>
        <w:t>reasonable</w:t>
      </w:r>
      <w:r w:rsidR="002B2B0A">
        <w:rPr>
          <w:rFonts w:ascii="Times New Roman" w:eastAsia="Times New Roman" w:hAnsi="Times New Roman" w:cs="Times New Roman"/>
          <w:szCs w:val="20"/>
          <w:lang w:val="en-GB"/>
        </w:rPr>
        <w:t xml:space="preserve"> for the legislator to provide a double benefit if certain firms were suffering t</w:t>
      </w:r>
      <w:r w:rsidR="00553AB2">
        <w:rPr>
          <w:rFonts w:ascii="Times New Roman" w:eastAsia="Times New Roman" w:hAnsi="Times New Roman" w:cs="Times New Roman"/>
          <w:szCs w:val="20"/>
          <w:lang w:val="en-GB"/>
        </w:rPr>
        <w:t>wo</w:t>
      </w:r>
      <w:r w:rsidR="00553AB2">
        <w:rPr>
          <w:rFonts w:ascii="Times New Roman" w:eastAsia="Times New Roman" w:hAnsi="Times New Roman" w:cs="Times New Roman"/>
          <w:szCs w:val="20"/>
          <w:lang w:val="en-GB"/>
        </w:rPr>
        <w:noBreakHyphen/>
      </w:r>
      <w:r w:rsidR="002B2B0A">
        <w:rPr>
          <w:rFonts w:ascii="Times New Roman" w:eastAsia="Times New Roman" w:hAnsi="Times New Roman" w:cs="Times New Roman"/>
          <w:szCs w:val="20"/>
          <w:lang w:val="en-GB"/>
        </w:rPr>
        <w:t xml:space="preserve">fold </w:t>
      </w:r>
      <w:r w:rsidR="00434F1D">
        <w:rPr>
          <w:rFonts w:ascii="Times New Roman" w:eastAsia="Times New Roman" w:hAnsi="Times New Roman" w:cs="Times New Roman"/>
          <w:szCs w:val="20"/>
          <w:lang w:val="en-GB"/>
        </w:rPr>
        <w:t>hindrances</w:t>
      </w:r>
      <w:r w:rsidR="002B2B0A">
        <w:rPr>
          <w:rFonts w:ascii="Times New Roman" w:eastAsia="Times New Roman" w:hAnsi="Times New Roman" w:cs="Times New Roman"/>
          <w:szCs w:val="20"/>
          <w:lang w:val="en-GB"/>
        </w:rPr>
        <w:t xml:space="preserve">. </w:t>
      </w:r>
      <w:r w:rsidR="00931C2C">
        <w:rPr>
          <w:rFonts w:ascii="Times New Roman" w:eastAsia="Times New Roman" w:hAnsi="Times New Roman" w:cs="Times New Roman"/>
          <w:szCs w:val="20"/>
          <w:lang w:val="en-GB"/>
        </w:rPr>
        <w:t xml:space="preserve">Moreover, while such payments constituted substantial amounts and clearly affected the revenues collected by the authorities over the relevant years, it was also true that such payments were made to boost the agricultural sector and consequently </w:t>
      </w:r>
      <w:r w:rsidR="004D1F5C">
        <w:rPr>
          <w:rFonts w:ascii="Times New Roman" w:eastAsia="Times New Roman" w:hAnsi="Times New Roman" w:cs="Times New Roman"/>
          <w:szCs w:val="20"/>
          <w:lang w:val="en-GB"/>
        </w:rPr>
        <w:t xml:space="preserve">to </w:t>
      </w:r>
      <w:r w:rsidR="00931C2C">
        <w:rPr>
          <w:rFonts w:ascii="Times New Roman" w:eastAsia="Times New Roman" w:hAnsi="Times New Roman" w:cs="Times New Roman"/>
          <w:szCs w:val="20"/>
          <w:lang w:val="en-GB"/>
        </w:rPr>
        <w:t xml:space="preserve">positively impact </w:t>
      </w:r>
      <w:r w:rsidR="00661A09">
        <w:rPr>
          <w:rFonts w:ascii="Times New Roman" w:eastAsia="Times New Roman" w:hAnsi="Times New Roman" w:cs="Times New Roman"/>
          <w:szCs w:val="20"/>
          <w:lang w:val="en-GB"/>
        </w:rPr>
        <w:t xml:space="preserve">upon </w:t>
      </w:r>
      <w:r w:rsidR="00931C2C">
        <w:rPr>
          <w:rFonts w:ascii="Times New Roman" w:eastAsia="Times New Roman" w:hAnsi="Times New Roman" w:cs="Times New Roman"/>
          <w:szCs w:val="20"/>
          <w:lang w:val="en-GB"/>
        </w:rPr>
        <w:t>the econom</w:t>
      </w:r>
      <w:r w:rsidR="0074721E">
        <w:rPr>
          <w:rFonts w:ascii="Times New Roman" w:eastAsia="Times New Roman" w:hAnsi="Times New Roman" w:cs="Times New Roman"/>
          <w:szCs w:val="20"/>
          <w:lang w:val="en-GB"/>
        </w:rPr>
        <w:t xml:space="preserve">y and the collective interests, </w:t>
      </w:r>
      <w:r w:rsidR="00931C2C">
        <w:rPr>
          <w:rFonts w:ascii="Times New Roman" w:eastAsia="Times New Roman" w:hAnsi="Times New Roman" w:cs="Times New Roman"/>
          <w:szCs w:val="20"/>
          <w:lang w:val="en-GB"/>
        </w:rPr>
        <w:t>if not of the nation, at least of the relevant regions.</w:t>
      </w:r>
    </w:p>
    <w:p w:rsidR="00632A2E" w:rsidRDefault="00EE2F44" w:rsidP="009B0194">
      <w:pPr>
        <w:pStyle w:val="ECHRPara"/>
        <w:rPr>
          <w:rFonts w:ascii="Times New Roman" w:eastAsia="Times New Roman" w:hAnsi="Times New Roman" w:cs="Times New Roman"/>
          <w:szCs w:val="20"/>
          <w:lang w:val="en-GB"/>
        </w:rPr>
      </w:pPr>
      <w:r w:rsidRPr="00AC0873">
        <w:rPr>
          <w:rFonts w:ascii="Times New Roman" w:eastAsia="Times New Roman" w:hAnsi="Times New Roman" w:cs="Times New Roman"/>
          <w:szCs w:val="20"/>
          <w:lang w:val="en-GB"/>
        </w:rPr>
        <w:fldChar w:fldCharType="begin"/>
      </w:r>
      <w:r w:rsidRPr="00AC0873">
        <w:rPr>
          <w:rFonts w:ascii="Times New Roman" w:eastAsia="Times New Roman" w:hAnsi="Times New Roman" w:cs="Times New Roman"/>
          <w:szCs w:val="20"/>
          <w:lang w:val="en-GB"/>
        </w:rPr>
        <w:instrText xml:space="preserve"> SEQ level0 \*arabic </w:instrText>
      </w:r>
      <w:r w:rsidRPr="00AC0873">
        <w:rPr>
          <w:rFonts w:ascii="Times New Roman" w:eastAsia="Times New Roman" w:hAnsi="Times New Roman" w:cs="Times New Roman"/>
          <w:szCs w:val="20"/>
          <w:lang w:val="en-GB"/>
        </w:rPr>
        <w:fldChar w:fldCharType="separate"/>
      </w:r>
      <w:r w:rsidR="00D471CA">
        <w:rPr>
          <w:rFonts w:ascii="Times New Roman" w:eastAsia="Times New Roman" w:hAnsi="Times New Roman" w:cs="Times New Roman"/>
          <w:noProof/>
          <w:szCs w:val="20"/>
          <w:lang w:val="en-GB"/>
        </w:rPr>
        <w:t>86</w:t>
      </w:r>
      <w:r w:rsidRPr="00AC0873">
        <w:rPr>
          <w:rFonts w:ascii="Times New Roman" w:eastAsia="Times New Roman" w:hAnsi="Times New Roman" w:cs="Times New Roman"/>
          <w:szCs w:val="20"/>
          <w:lang w:val="en-GB"/>
        </w:rPr>
        <w:fldChar w:fldCharType="end"/>
      </w:r>
      <w:r w:rsidRPr="00AC0873">
        <w:rPr>
          <w:rFonts w:ascii="Times New Roman" w:eastAsia="Times New Roman" w:hAnsi="Times New Roman" w:cs="Times New Roman"/>
          <w:szCs w:val="20"/>
          <w:lang w:val="en-GB"/>
        </w:rPr>
        <w:t xml:space="preserve">.  In that connection the Court </w:t>
      </w:r>
      <w:r w:rsidR="000E5865" w:rsidRPr="00AC0873">
        <w:rPr>
          <w:rFonts w:ascii="Times New Roman" w:eastAsia="Times New Roman" w:hAnsi="Times New Roman" w:cs="Times New Roman"/>
          <w:szCs w:val="20"/>
          <w:lang w:val="en-GB"/>
        </w:rPr>
        <w:t xml:space="preserve">also takes account of the utility and aim of such monies, which contrasts with the windfall which would have been made by the applicants in </w:t>
      </w:r>
      <w:r w:rsidR="000E5865" w:rsidRPr="00AC0873">
        <w:rPr>
          <w:i/>
          <w:iCs/>
          <w:lang w:val="en-GB"/>
        </w:rPr>
        <w:t xml:space="preserve">National &amp; </w:t>
      </w:r>
      <w:r w:rsidR="000E5865" w:rsidRPr="00AC0873">
        <w:rPr>
          <w:bCs/>
          <w:i/>
          <w:iCs/>
          <w:lang w:val="en-GB"/>
        </w:rPr>
        <w:t>Provincial</w:t>
      </w:r>
      <w:r w:rsidR="000E5865" w:rsidRPr="00AC0873">
        <w:rPr>
          <w:i/>
          <w:iCs/>
          <w:lang w:val="en-GB"/>
        </w:rPr>
        <w:t xml:space="preserve"> </w:t>
      </w:r>
      <w:r w:rsidR="000E5865" w:rsidRPr="00AC0873">
        <w:rPr>
          <w:bCs/>
          <w:i/>
          <w:iCs/>
          <w:lang w:val="en-GB"/>
        </w:rPr>
        <w:t>Building</w:t>
      </w:r>
      <w:r w:rsidR="000E5865" w:rsidRPr="00AC0873">
        <w:rPr>
          <w:i/>
          <w:iCs/>
          <w:lang w:val="en-GB"/>
        </w:rPr>
        <w:t xml:space="preserve"> </w:t>
      </w:r>
      <w:r w:rsidR="000E5865" w:rsidRPr="00AC0873">
        <w:rPr>
          <w:bCs/>
          <w:i/>
          <w:iCs/>
          <w:lang w:val="en-GB"/>
        </w:rPr>
        <w:t>Society</w:t>
      </w:r>
      <w:r w:rsidR="000E5865" w:rsidRPr="00A2573C">
        <w:rPr>
          <w:iCs/>
          <w:lang w:val="en-GB"/>
        </w:rPr>
        <w:t>,</w:t>
      </w:r>
      <w:r w:rsidRPr="00AC0873">
        <w:rPr>
          <w:rFonts w:ascii="Times New Roman" w:eastAsia="Times New Roman" w:hAnsi="Times New Roman" w:cs="Times New Roman"/>
          <w:szCs w:val="20"/>
          <w:lang w:val="en-GB"/>
        </w:rPr>
        <w:t xml:space="preserve"> </w:t>
      </w:r>
      <w:r w:rsidR="000E5865" w:rsidRPr="00AC0873">
        <w:rPr>
          <w:rFonts w:ascii="Times New Roman" w:eastAsia="Times New Roman" w:hAnsi="Times New Roman" w:cs="Times New Roman"/>
          <w:szCs w:val="20"/>
          <w:lang w:val="en-GB"/>
        </w:rPr>
        <w:t xml:space="preserve">as well as in </w:t>
      </w:r>
      <w:r w:rsidR="000E5865" w:rsidRPr="00AC0873">
        <w:rPr>
          <w:rFonts w:ascii="Times New Roman" w:eastAsia="Times New Roman" w:hAnsi="Times New Roman" w:cs="Times New Roman"/>
          <w:i/>
          <w:szCs w:val="20"/>
          <w:lang w:val="en-GB"/>
        </w:rPr>
        <w:t xml:space="preserve">OGIS-Institut Stanislas </w:t>
      </w:r>
      <w:r w:rsidR="000E5865" w:rsidRPr="00AC0873">
        <w:rPr>
          <w:rFonts w:ascii="Times New Roman" w:eastAsia="Times New Roman" w:hAnsi="Times New Roman" w:cs="Times New Roman"/>
          <w:szCs w:val="20"/>
          <w:lang w:val="en-GB"/>
        </w:rPr>
        <w:t>(both cited above).</w:t>
      </w:r>
    </w:p>
    <w:p w:rsidR="00632A2E" w:rsidRDefault="000E5865" w:rsidP="009B0194">
      <w:pPr>
        <w:pStyle w:val="ECHRPara"/>
        <w:rPr>
          <w:rFonts w:ascii="Times New Roman" w:eastAsia="Times New Roman" w:hAnsi="Times New Roman" w:cs="Times New Roman"/>
          <w:szCs w:val="20"/>
          <w:lang w:val="en-GB"/>
        </w:rPr>
      </w:pPr>
      <w:r w:rsidRPr="00AC0873">
        <w:rPr>
          <w:rFonts w:ascii="Times New Roman" w:eastAsia="Times New Roman" w:hAnsi="Times New Roman" w:cs="Times New Roman"/>
          <w:szCs w:val="20"/>
          <w:lang w:val="en-GB"/>
        </w:rPr>
        <w:fldChar w:fldCharType="begin"/>
      </w:r>
      <w:r w:rsidRPr="00AC0873">
        <w:rPr>
          <w:rFonts w:ascii="Times New Roman" w:eastAsia="Times New Roman" w:hAnsi="Times New Roman" w:cs="Times New Roman"/>
          <w:szCs w:val="20"/>
          <w:lang w:val="en-GB"/>
        </w:rPr>
        <w:instrText xml:space="preserve"> SEQ level0 \*arabic </w:instrText>
      </w:r>
      <w:r w:rsidRPr="00AC0873">
        <w:rPr>
          <w:rFonts w:ascii="Times New Roman" w:eastAsia="Times New Roman" w:hAnsi="Times New Roman" w:cs="Times New Roman"/>
          <w:szCs w:val="20"/>
          <w:lang w:val="en-GB"/>
        </w:rPr>
        <w:fldChar w:fldCharType="separate"/>
      </w:r>
      <w:r w:rsidR="00D471CA">
        <w:rPr>
          <w:rFonts w:ascii="Times New Roman" w:eastAsia="Times New Roman" w:hAnsi="Times New Roman" w:cs="Times New Roman"/>
          <w:noProof/>
          <w:szCs w:val="20"/>
          <w:lang w:val="en-GB"/>
        </w:rPr>
        <w:t>87</w:t>
      </w:r>
      <w:r w:rsidRPr="00AC0873">
        <w:rPr>
          <w:rFonts w:ascii="Times New Roman" w:eastAsia="Times New Roman" w:hAnsi="Times New Roman" w:cs="Times New Roman"/>
          <w:szCs w:val="20"/>
          <w:lang w:val="en-GB"/>
        </w:rPr>
        <w:fldChar w:fldCharType="end"/>
      </w:r>
      <w:r w:rsidRPr="00AC0873">
        <w:rPr>
          <w:rFonts w:ascii="Times New Roman" w:eastAsia="Times New Roman" w:hAnsi="Times New Roman" w:cs="Times New Roman"/>
          <w:szCs w:val="20"/>
          <w:lang w:val="en-GB"/>
        </w:rPr>
        <w:t xml:space="preserve">.  Lastly, </w:t>
      </w:r>
      <w:r w:rsidR="00D41465" w:rsidRPr="00AC0873">
        <w:rPr>
          <w:rFonts w:ascii="Times New Roman" w:eastAsia="Times New Roman" w:hAnsi="Times New Roman" w:cs="Times New Roman"/>
          <w:szCs w:val="20"/>
          <w:lang w:val="en-GB"/>
        </w:rPr>
        <w:t xml:space="preserve">although of less significance, the Court </w:t>
      </w:r>
      <w:r w:rsidR="00CD3304" w:rsidRPr="00AC0873">
        <w:rPr>
          <w:rFonts w:ascii="Times New Roman" w:eastAsia="Times New Roman" w:hAnsi="Times New Roman" w:cs="Times New Roman"/>
          <w:szCs w:val="20"/>
          <w:lang w:val="en-GB"/>
        </w:rPr>
        <w:t xml:space="preserve">also </w:t>
      </w:r>
      <w:r w:rsidR="00D41465" w:rsidRPr="00AC0873">
        <w:rPr>
          <w:rFonts w:ascii="Times New Roman" w:eastAsia="Times New Roman" w:hAnsi="Times New Roman" w:cs="Times New Roman"/>
          <w:szCs w:val="20"/>
          <w:lang w:val="en-GB"/>
        </w:rPr>
        <w:t>observes that</w:t>
      </w:r>
      <w:r w:rsidRPr="00AC0873">
        <w:rPr>
          <w:rFonts w:ascii="Times New Roman" w:eastAsia="Times New Roman" w:hAnsi="Times New Roman" w:cs="Times New Roman"/>
          <w:szCs w:val="20"/>
          <w:lang w:val="en-GB"/>
        </w:rPr>
        <w:t xml:space="preserve"> in the present case</w:t>
      </w:r>
      <w:r w:rsidR="00D41465" w:rsidRPr="00AC0873">
        <w:rPr>
          <w:rFonts w:ascii="Times New Roman" w:eastAsia="Times New Roman" w:hAnsi="Times New Roman" w:cs="Times New Roman"/>
          <w:szCs w:val="20"/>
          <w:lang w:val="en-GB"/>
        </w:rPr>
        <w:t>,</w:t>
      </w:r>
      <w:r w:rsidRPr="00AC0873">
        <w:rPr>
          <w:rFonts w:ascii="Times New Roman" w:eastAsia="Times New Roman" w:hAnsi="Times New Roman" w:cs="Times New Roman"/>
          <w:szCs w:val="20"/>
          <w:lang w:val="en-GB"/>
        </w:rPr>
        <w:t xml:space="preserve"> unlike in the </w:t>
      </w:r>
      <w:r w:rsidR="00B27720" w:rsidRPr="00AC0873">
        <w:rPr>
          <w:rFonts w:ascii="Times New Roman" w:eastAsia="Times New Roman" w:hAnsi="Times New Roman" w:cs="Times New Roman"/>
          <w:szCs w:val="20"/>
          <w:lang w:val="en-GB"/>
        </w:rPr>
        <w:t xml:space="preserve">two </w:t>
      </w:r>
      <w:r w:rsidRPr="00AC0873">
        <w:rPr>
          <w:rFonts w:ascii="Times New Roman" w:eastAsia="Times New Roman" w:hAnsi="Times New Roman" w:cs="Times New Roman"/>
          <w:szCs w:val="20"/>
          <w:lang w:val="en-GB"/>
        </w:rPr>
        <w:t xml:space="preserve">above-mentioned cases, the applicant companies had </w:t>
      </w:r>
      <w:r w:rsidR="00D41465" w:rsidRPr="00AC0873">
        <w:rPr>
          <w:rFonts w:ascii="Times New Roman" w:eastAsia="Times New Roman" w:hAnsi="Times New Roman" w:cs="Times New Roman"/>
          <w:szCs w:val="20"/>
          <w:lang w:val="en-GB"/>
        </w:rPr>
        <w:t xml:space="preserve">already </w:t>
      </w:r>
      <w:r w:rsidRPr="00AC0873">
        <w:rPr>
          <w:rFonts w:ascii="Times New Roman" w:eastAsia="Times New Roman" w:hAnsi="Times New Roman" w:cs="Times New Roman"/>
          <w:szCs w:val="20"/>
          <w:lang w:val="en-GB"/>
        </w:rPr>
        <w:t>obtained first-instance and appeal judgments in their favour</w:t>
      </w:r>
      <w:r w:rsidR="00D41465" w:rsidRPr="00AC0873">
        <w:rPr>
          <w:rFonts w:ascii="Times New Roman" w:eastAsia="Times New Roman" w:hAnsi="Times New Roman" w:cs="Times New Roman"/>
          <w:szCs w:val="20"/>
          <w:lang w:val="en-GB"/>
        </w:rPr>
        <w:t>, before the intervention of the impugned law.</w:t>
      </w:r>
    </w:p>
    <w:p w:rsidR="00931C2C" w:rsidRDefault="00DE4AFF" w:rsidP="009B0194">
      <w:pPr>
        <w:pStyle w:val="ECHRPara"/>
        <w:rPr>
          <w:rFonts w:ascii="Times New Roman" w:eastAsia="Times New Roman" w:hAnsi="Times New Roman" w:cs="Times New Roman"/>
          <w:szCs w:val="20"/>
          <w:lang w:val="en-GB"/>
        </w:rPr>
      </w:pPr>
      <w:r>
        <w:rPr>
          <w:rFonts w:ascii="Times New Roman" w:eastAsia="Times New Roman" w:hAnsi="Times New Roman" w:cs="Times New Roman"/>
          <w:szCs w:val="20"/>
          <w:lang w:val="en-GB"/>
        </w:rPr>
        <w:fldChar w:fldCharType="begin"/>
      </w:r>
      <w:r>
        <w:rPr>
          <w:rFonts w:ascii="Times New Roman" w:eastAsia="Times New Roman" w:hAnsi="Times New Roman" w:cs="Times New Roman"/>
          <w:szCs w:val="20"/>
          <w:lang w:val="en-GB"/>
        </w:rPr>
        <w:instrText xml:space="preserve"> SEQ level0 \*arabic </w:instrText>
      </w:r>
      <w:r>
        <w:rPr>
          <w:rFonts w:ascii="Times New Roman" w:eastAsia="Times New Roman" w:hAnsi="Times New Roman" w:cs="Times New Roman"/>
          <w:szCs w:val="20"/>
          <w:lang w:val="en-GB"/>
        </w:rPr>
        <w:fldChar w:fldCharType="separate"/>
      </w:r>
      <w:r w:rsidR="00D471CA">
        <w:rPr>
          <w:rFonts w:ascii="Times New Roman" w:eastAsia="Times New Roman" w:hAnsi="Times New Roman" w:cs="Times New Roman"/>
          <w:noProof/>
          <w:szCs w:val="20"/>
          <w:lang w:val="en-GB"/>
        </w:rPr>
        <w:t>88</w:t>
      </w:r>
      <w:r>
        <w:rPr>
          <w:rFonts w:ascii="Times New Roman" w:eastAsia="Times New Roman" w:hAnsi="Times New Roman" w:cs="Times New Roman"/>
          <w:szCs w:val="20"/>
          <w:lang w:val="en-GB"/>
        </w:rPr>
        <w:fldChar w:fldCharType="end"/>
      </w:r>
      <w:r>
        <w:rPr>
          <w:rFonts w:ascii="Times New Roman" w:eastAsia="Times New Roman" w:hAnsi="Times New Roman" w:cs="Times New Roman"/>
          <w:szCs w:val="20"/>
          <w:lang w:val="en-GB"/>
        </w:rPr>
        <w:t>.  </w:t>
      </w:r>
      <w:r w:rsidR="00F71A6A" w:rsidRPr="00B46173">
        <w:rPr>
          <w:lang w:val="en-GB"/>
        </w:rPr>
        <w:t xml:space="preserve">The foregoing considerations are sufficient to enable the Court to conclude that </w:t>
      </w:r>
      <w:r w:rsidR="00931C2C">
        <w:rPr>
          <w:rFonts w:ascii="Times New Roman" w:eastAsia="Times New Roman" w:hAnsi="Times New Roman" w:cs="Times New Roman"/>
          <w:szCs w:val="20"/>
          <w:lang w:val="en-GB"/>
        </w:rPr>
        <w:t>in the circumstances of the present cases the applicant companies</w:t>
      </w:r>
      <w:r w:rsidR="00864D90">
        <w:rPr>
          <w:rFonts w:ascii="Times New Roman" w:eastAsia="Times New Roman" w:hAnsi="Times New Roman" w:cs="Times New Roman"/>
          <w:szCs w:val="20"/>
          <w:lang w:val="en-GB"/>
        </w:rPr>
        <w:t>’</w:t>
      </w:r>
      <w:r w:rsidR="00931C2C">
        <w:rPr>
          <w:rFonts w:ascii="Times New Roman" w:eastAsia="Times New Roman" w:hAnsi="Times New Roman" w:cs="Times New Roman"/>
          <w:szCs w:val="20"/>
          <w:lang w:val="en-GB"/>
        </w:rPr>
        <w:t xml:space="preserve"> institution of proceedings </w:t>
      </w:r>
      <w:r w:rsidR="00931C2C">
        <w:rPr>
          <w:lang w:val="en-GB"/>
        </w:rPr>
        <w:t>cannot</w:t>
      </w:r>
      <w:r w:rsidR="00931C2C" w:rsidRPr="002B2B0A">
        <w:rPr>
          <w:lang w:val="en-GB"/>
        </w:rPr>
        <w:t xml:space="preserve"> be considered to have been an attempt to benefit from the vulnerability of the authorities</w:t>
      </w:r>
      <w:r w:rsidR="00931C2C">
        <w:rPr>
          <w:lang w:val="en-GB"/>
        </w:rPr>
        <w:t xml:space="preserve"> or the law (</w:t>
      </w:r>
      <w:r w:rsidR="00357C6A">
        <w:rPr>
          <w:iCs/>
          <w:lang w:val="en-GB"/>
        </w:rPr>
        <w:t>contrast with</w:t>
      </w:r>
      <w:r w:rsidR="00931C2C">
        <w:rPr>
          <w:iCs/>
          <w:lang w:val="en-GB"/>
        </w:rPr>
        <w:t xml:space="preserve"> </w:t>
      </w:r>
      <w:r w:rsidR="00357C6A" w:rsidRPr="00AC0873">
        <w:rPr>
          <w:i/>
          <w:iCs/>
          <w:lang w:val="en-GB"/>
        </w:rPr>
        <w:t xml:space="preserve">National &amp; </w:t>
      </w:r>
      <w:r w:rsidR="00357C6A" w:rsidRPr="00AC0873">
        <w:rPr>
          <w:bCs/>
          <w:i/>
          <w:iCs/>
          <w:lang w:val="en-GB"/>
        </w:rPr>
        <w:t>Provincial</w:t>
      </w:r>
      <w:r w:rsidR="00357C6A" w:rsidRPr="00AC0873">
        <w:rPr>
          <w:i/>
          <w:iCs/>
          <w:lang w:val="en-GB"/>
        </w:rPr>
        <w:t xml:space="preserve"> </w:t>
      </w:r>
      <w:r w:rsidR="00357C6A" w:rsidRPr="00AC0873">
        <w:rPr>
          <w:bCs/>
          <w:i/>
          <w:iCs/>
          <w:lang w:val="en-GB"/>
        </w:rPr>
        <w:t>Building</w:t>
      </w:r>
      <w:r w:rsidR="00357C6A" w:rsidRPr="00AC0873">
        <w:rPr>
          <w:i/>
          <w:iCs/>
          <w:lang w:val="en-GB"/>
        </w:rPr>
        <w:t xml:space="preserve"> </w:t>
      </w:r>
      <w:r w:rsidR="00357C6A" w:rsidRPr="00AC0873">
        <w:rPr>
          <w:bCs/>
          <w:i/>
          <w:iCs/>
          <w:lang w:val="en-GB"/>
        </w:rPr>
        <w:t>Society</w:t>
      </w:r>
      <w:r w:rsidR="00357C6A" w:rsidRPr="00D15B01">
        <w:rPr>
          <w:iCs/>
          <w:lang w:val="en-GB"/>
        </w:rPr>
        <w:t>,</w:t>
      </w:r>
      <w:r w:rsidR="00357C6A" w:rsidRPr="00AC0873">
        <w:rPr>
          <w:rFonts w:ascii="Times New Roman" w:eastAsia="Times New Roman" w:hAnsi="Times New Roman" w:cs="Times New Roman"/>
          <w:szCs w:val="20"/>
          <w:lang w:val="en-GB"/>
        </w:rPr>
        <w:t xml:space="preserve"> </w:t>
      </w:r>
      <w:r w:rsidR="00357C6A">
        <w:rPr>
          <w:rFonts w:ascii="Times New Roman" w:eastAsia="Times New Roman" w:hAnsi="Times New Roman" w:cs="Times New Roman"/>
          <w:szCs w:val="20"/>
          <w:lang w:val="en-GB"/>
        </w:rPr>
        <w:t>and</w:t>
      </w:r>
      <w:r w:rsidR="00357C6A" w:rsidRPr="00AC0873">
        <w:rPr>
          <w:rFonts w:ascii="Times New Roman" w:eastAsia="Times New Roman" w:hAnsi="Times New Roman" w:cs="Times New Roman"/>
          <w:szCs w:val="20"/>
          <w:lang w:val="en-GB"/>
        </w:rPr>
        <w:t xml:space="preserve"> </w:t>
      </w:r>
      <w:r w:rsidR="00357C6A" w:rsidRPr="00AC0873">
        <w:rPr>
          <w:rFonts w:ascii="Times New Roman" w:eastAsia="Times New Roman" w:hAnsi="Times New Roman" w:cs="Times New Roman"/>
          <w:i/>
          <w:szCs w:val="20"/>
          <w:lang w:val="en-GB"/>
        </w:rPr>
        <w:t>OGIS-Institut Stanislas</w:t>
      </w:r>
      <w:r w:rsidR="00357C6A">
        <w:rPr>
          <w:rFonts w:ascii="Times New Roman" w:eastAsia="Times New Roman" w:hAnsi="Times New Roman" w:cs="Times New Roman"/>
          <w:szCs w:val="20"/>
          <w:lang w:val="en-GB"/>
        </w:rPr>
        <w:t>,</w:t>
      </w:r>
      <w:r w:rsidR="00357C6A" w:rsidRPr="00AC0873">
        <w:rPr>
          <w:rFonts w:ascii="Times New Roman" w:eastAsia="Times New Roman" w:hAnsi="Times New Roman" w:cs="Times New Roman"/>
          <w:i/>
          <w:szCs w:val="20"/>
          <w:lang w:val="en-GB"/>
        </w:rPr>
        <w:t xml:space="preserve"> </w:t>
      </w:r>
      <w:r w:rsidR="00931C2C">
        <w:rPr>
          <w:rFonts w:cstheme="minorHAnsi"/>
          <w:lang w:val="en-GB"/>
        </w:rPr>
        <w:t>§§</w:t>
      </w:r>
      <w:r w:rsidR="00931C2C" w:rsidRPr="00000403">
        <w:rPr>
          <w:lang w:val="en-GB"/>
        </w:rPr>
        <w:t xml:space="preserve"> </w:t>
      </w:r>
      <w:r w:rsidR="00931C2C">
        <w:rPr>
          <w:rFonts w:ascii="Times New Roman" w:eastAsia="Times New Roman" w:hAnsi="Times New Roman" w:cs="Times New Roman"/>
          <w:szCs w:val="20"/>
          <w:lang w:val="en-GB"/>
        </w:rPr>
        <w:t xml:space="preserve">109 and 71, respectively). Neither has it been established that there were any </w:t>
      </w:r>
      <w:r w:rsidR="00931C2C">
        <w:rPr>
          <w:lang w:val="en-GB"/>
        </w:rPr>
        <w:t>compelling general</w:t>
      </w:r>
      <w:r w:rsidR="00B27720">
        <w:rPr>
          <w:lang w:val="en-GB"/>
        </w:rPr>
        <w:t xml:space="preserve"> </w:t>
      </w:r>
      <w:r w:rsidR="00931C2C">
        <w:rPr>
          <w:lang w:val="en-GB"/>
        </w:rPr>
        <w:t>interest reason</w:t>
      </w:r>
      <w:r w:rsidR="00F867C4">
        <w:rPr>
          <w:lang w:val="en-GB"/>
        </w:rPr>
        <w:t>s</w:t>
      </w:r>
      <w:r w:rsidR="00931C2C">
        <w:rPr>
          <w:lang w:val="en-GB"/>
        </w:rPr>
        <w:t xml:space="preserve"> capable of </w:t>
      </w:r>
      <w:r w:rsidR="003020C4">
        <w:rPr>
          <w:lang w:val="en-GB"/>
        </w:rPr>
        <w:t xml:space="preserve">outweighing </w:t>
      </w:r>
      <w:r w:rsidR="00931C2C">
        <w:rPr>
          <w:lang w:val="en-GB"/>
        </w:rPr>
        <w:t xml:space="preserve">the dangers </w:t>
      </w:r>
      <w:r w:rsidR="00931C2C" w:rsidRPr="00841D09">
        <w:rPr>
          <w:lang w:val="en-GB"/>
        </w:rPr>
        <w:t xml:space="preserve">inherent in the use of retrospective legislation which has the effect of </w:t>
      </w:r>
      <w:r w:rsidR="00931C2C">
        <w:rPr>
          <w:lang w:val="en-GB"/>
        </w:rPr>
        <w:t>determining pending proceedings</w:t>
      </w:r>
      <w:r w:rsidR="00434F1D">
        <w:rPr>
          <w:lang w:val="en-GB"/>
        </w:rPr>
        <w:t xml:space="preserve"> in favour of the State</w:t>
      </w:r>
      <w:r w:rsidR="00931C2C">
        <w:rPr>
          <w:lang w:val="en-GB"/>
        </w:rPr>
        <w:t>.</w:t>
      </w:r>
    </w:p>
    <w:p w:rsidR="006F13A8" w:rsidRDefault="00931C2C" w:rsidP="009B0194">
      <w:pPr>
        <w:pStyle w:val="ECHRPara"/>
        <w:rPr>
          <w:lang w:val="en-GB"/>
        </w:rPr>
      </w:pPr>
      <w:r>
        <w:rPr>
          <w:rFonts w:ascii="Times New Roman" w:eastAsia="Times New Roman" w:hAnsi="Times New Roman" w:cs="Times New Roman"/>
          <w:szCs w:val="20"/>
          <w:lang w:val="en-GB"/>
        </w:rPr>
        <w:fldChar w:fldCharType="begin"/>
      </w:r>
      <w:r>
        <w:rPr>
          <w:rFonts w:ascii="Times New Roman" w:eastAsia="Times New Roman" w:hAnsi="Times New Roman" w:cs="Times New Roman"/>
          <w:szCs w:val="20"/>
          <w:lang w:val="en-GB"/>
        </w:rPr>
        <w:instrText xml:space="preserve"> SEQ level0 \*arabic </w:instrText>
      </w:r>
      <w:r>
        <w:rPr>
          <w:rFonts w:ascii="Times New Roman" w:eastAsia="Times New Roman" w:hAnsi="Times New Roman" w:cs="Times New Roman"/>
          <w:szCs w:val="20"/>
          <w:lang w:val="en-GB"/>
        </w:rPr>
        <w:fldChar w:fldCharType="separate"/>
      </w:r>
      <w:r w:rsidR="00D471CA">
        <w:rPr>
          <w:rFonts w:ascii="Times New Roman" w:eastAsia="Times New Roman" w:hAnsi="Times New Roman" w:cs="Times New Roman"/>
          <w:noProof/>
          <w:szCs w:val="20"/>
          <w:lang w:val="en-GB"/>
        </w:rPr>
        <w:t>89</w:t>
      </w:r>
      <w:r>
        <w:rPr>
          <w:rFonts w:ascii="Times New Roman" w:eastAsia="Times New Roman" w:hAnsi="Times New Roman" w:cs="Times New Roman"/>
          <w:szCs w:val="20"/>
          <w:lang w:val="en-GB"/>
        </w:rPr>
        <w:fldChar w:fldCharType="end"/>
      </w:r>
      <w:r>
        <w:rPr>
          <w:rFonts w:ascii="Times New Roman" w:eastAsia="Times New Roman" w:hAnsi="Times New Roman" w:cs="Times New Roman"/>
          <w:szCs w:val="20"/>
          <w:lang w:val="en-GB"/>
        </w:rPr>
        <w:t>.  </w:t>
      </w:r>
      <w:r w:rsidR="00F71A6A" w:rsidRPr="00B46173">
        <w:rPr>
          <w:lang w:val="en-GB"/>
        </w:rPr>
        <w:t xml:space="preserve">There has accordingly been a violation of Article </w:t>
      </w:r>
      <w:r>
        <w:rPr>
          <w:lang w:val="en-GB"/>
        </w:rPr>
        <w:t xml:space="preserve">6 </w:t>
      </w:r>
      <w:r>
        <w:rPr>
          <w:rFonts w:cstheme="minorHAnsi"/>
          <w:lang w:val="en-GB"/>
        </w:rPr>
        <w:t>§</w:t>
      </w:r>
      <w:r w:rsidR="00F71A6A" w:rsidRPr="00B46173">
        <w:rPr>
          <w:lang w:val="en-GB"/>
        </w:rPr>
        <w:t xml:space="preserve"> </w:t>
      </w:r>
      <w:r>
        <w:rPr>
          <w:lang w:val="en-GB"/>
        </w:rPr>
        <w:t xml:space="preserve">1 </w:t>
      </w:r>
      <w:r w:rsidR="00F71A6A" w:rsidRPr="00B46173">
        <w:rPr>
          <w:lang w:val="en-GB"/>
        </w:rPr>
        <w:t>of the Convention.</w:t>
      </w:r>
    </w:p>
    <w:p w:rsidR="00F71A6A" w:rsidRPr="00B46173" w:rsidRDefault="00DE1463" w:rsidP="009B0194">
      <w:pPr>
        <w:pStyle w:val="ECHRHeading1"/>
        <w:rPr>
          <w:lang w:val="en-GB"/>
        </w:rPr>
      </w:pPr>
      <w:r>
        <w:rPr>
          <w:lang w:val="en-GB"/>
        </w:rPr>
        <w:t>I</w:t>
      </w:r>
      <w:r w:rsidR="00241896">
        <w:rPr>
          <w:lang w:val="en-GB"/>
        </w:rPr>
        <w:t>I</w:t>
      </w:r>
      <w:r>
        <w:rPr>
          <w:lang w:val="en-GB"/>
        </w:rPr>
        <w:t>I</w:t>
      </w:r>
      <w:r w:rsidR="00F71A6A" w:rsidRPr="00B46173">
        <w:rPr>
          <w:lang w:val="en-GB"/>
        </w:rPr>
        <w:t>.</w:t>
      </w:r>
      <w:r w:rsidR="00337600" w:rsidRPr="00B46173">
        <w:rPr>
          <w:lang w:val="en-GB"/>
        </w:rPr>
        <w:t xml:space="preserve">  ALLEGED VIOLATION OF ARTICLE </w:t>
      </w:r>
      <w:r>
        <w:rPr>
          <w:lang w:val="en-GB"/>
        </w:rPr>
        <w:t>1 OF PROTOCOL NO. 1 TO</w:t>
      </w:r>
      <w:r w:rsidR="00F71A6A" w:rsidRPr="00B46173">
        <w:rPr>
          <w:lang w:val="en-GB"/>
        </w:rPr>
        <w:t xml:space="preserve"> THE CONVENTION</w:t>
      </w:r>
    </w:p>
    <w:p w:rsidR="00851F3A" w:rsidRDefault="00634F53" w:rsidP="009B0194">
      <w:pPr>
        <w:pStyle w:val="ECHRPara"/>
        <w:rPr>
          <w:lang w:val="en-GB"/>
        </w:rPr>
      </w:pPr>
      <w:r>
        <w:rPr>
          <w:lang w:val="en-GB"/>
        </w:rPr>
        <w:fldChar w:fldCharType="begin"/>
      </w:r>
      <w:r>
        <w:rPr>
          <w:lang w:val="en-GB"/>
        </w:rPr>
        <w:instrText xml:space="preserve"> SEQ level0 \*arabic </w:instrText>
      </w:r>
      <w:r>
        <w:rPr>
          <w:lang w:val="en-GB"/>
        </w:rPr>
        <w:fldChar w:fldCharType="separate"/>
      </w:r>
      <w:r w:rsidR="00D471CA">
        <w:rPr>
          <w:noProof/>
          <w:lang w:val="en-GB"/>
        </w:rPr>
        <w:t>90</w:t>
      </w:r>
      <w:r>
        <w:rPr>
          <w:lang w:val="en-GB"/>
        </w:rPr>
        <w:fldChar w:fldCharType="end"/>
      </w:r>
      <w:r w:rsidR="00F71A6A" w:rsidRPr="00B46173">
        <w:rPr>
          <w:lang w:val="en-GB"/>
        </w:rPr>
        <w:t xml:space="preserve">.  The </w:t>
      </w:r>
      <w:r w:rsidR="005F4753" w:rsidRPr="00B46173">
        <w:rPr>
          <w:lang w:val="en-GB"/>
        </w:rPr>
        <w:t>applicant</w:t>
      </w:r>
      <w:r w:rsidR="00E64DA4">
        <w:rPr>
          <w:lang w:val="en-GB"/>
        </w:rPr>
        <w:t xml:space="preserve"> companie</w:t>
      </w:r>
      <w:r w:rsidRPr="00B46173">
        <w:rPr>
          <w:noProof/>
          <w:lang w:val="en-GB"/>
        </w:rPr>
        <w:t>s</w:t>
      </w:r>
      <w:r w:rsidR="00F71A6A" w:rsidRPr="00B46173">
        <w:rPr>
          <w:lang w:val="en-GB"/>
        </w:rPr>
        <w:t xml:space="preserve"> </w:t>
      </w:r>
      <w:r w:rsidR="002775DB">
        <w:rPr>
          <w:lang w:val="en-GB"/>
        </w:rPr>
        <w:t xml:space="preserve">also considered </w:t>
      </w:r>
      <w:r w:rsidR="00DE1463">
        <w:rPr>
          <w:lang w:val="en-GB"/>
        </w:rPr>
        <w:t>that</w:t>
      </w:r>
      <w:r w:rsidR="00DE1463" w:rsidRPr="00DE1463">
        <w:rPr>
          <w:lang w:val="en-GB"/>
        </w:rPr>
        <w:t xml:space="preserve"> they had been deprived of their possessions</w:t>
      </w:r>
      <w:r w:rsidR="00DE1463">
        <w:rPr>
          <w:noProof/>
          <w:lang w:val="en-GB"/>
        </w:rPr>
        <w:t xml:space="preserve">. </w:t>
      </w:r>
      <w:r w:rsidRPr="00B46173">
        <w:rPr>
          <w:noProof/>
          <w:lang w:val="en-GB"/>
        </w:rPr>
        <w:t>They</w:t>
      </w:r>
      <w:r w:rsidR="00F71A6A" w:rsidRPr="00B46173">
        <w:rPr>
          <w:lang w:val="en-GB"/>
        </w:rPr>
        <w:t xml:space="preserve"> relied on </w:t>
      </w:r>
      <w:r w:rsidR="00DE1463" w:rsidRPr="00DE1463">
        <w:rPr>
          <w:lang w:val="en-GB"/>
        </w:rPr>
        <w:t>Article 1 of Protocol No. 1</w:t>
      </w:r>
      <w:r w:rsidR="002775DB">
        <w:rPr>
          <w:lang w:val="en-GB"/>
        </w:rPr>
        <w:t xml:space="preserve"> </w:t>
      </w:r>
      <w:r w:rsidR="00F71A6A" w:rsidRPr="00B46173">
        <w:rPr>
          <w:lang w:val="en-GB"/>
        </w:rPr>
        <w:t>of the Convention</w:t>
      </w:r>
      <w:r w:rsidR="003020C4">
        <w:rPr>
          <w:lang w:val="en-GB"/>
        </w:rPr>
        <w:t>,</w:t>
      </w:r>
      <w:r w:rsidR="00851F3A">
        <w:rPr>
          <w:lang w:val="en-GB"/>
        </w:rPr>
        <w:t xml:space="preserve"> which reads as follows:</w:t>
      </w:r>
    </w:p>
    <w:p w:rsidR="00851F3A" w:rsidRPr="00851F3A" w:rsidRDefault="00851F3A" w:rsidP="009B0194">
      <w:pPr>
        <w:pStyle w:val="ECHRParaQuote"/>
        <w:rPr>
          <w:lang w:val="en-GB"/>
        </w:rPr>
      </w:pPr>
      <w:r w:rsidRPr="00851F3A">
        <w:rPr>
          <w:lang w:val="en-GB"/>
        </w:rPr>
        <w:t>“Every natural or legal person is entitled to the peaceful enjoyment of his possessions. No one shall be deprived of his possessions except in the public interest and subject to the conditions provided for by law and by the general principles of international law.</w:t>
      </w:r>
    </w:p>
    <w:p w:rsidR="003C1DEA" w:rsidRPr="00B46173" w:rsidRDefault="00851F3A" w:rsidP="009B0194">
      <w:pPr>
        <w:pStyle w:val="ECHRParaQuote"/>
        <w:rPr>
          <w:lang w:val="en-GB"/>
        </w:rPr>
      </w:pPr>
      <w:r w:rsidRPr="00851F3A">
        <w:rPr>
          <w:lang w:val="en-GB"/>
        </w:rPr>
        <w:t>The preceding provisions shall not, however, in any way impair the right of a State to enforce such laws as it deems necessary to control the use of property in accordance with the general interest or to secure the payment of taxes or other contributions or penalties.”</w:t>
      </w:r>
    </w:p>
    <w:p w:rsidR="00A911DB" w:rsidRDefault="00A911DB" w:rsidP="009B0194">
      <w:pPr>
        <w:pStyle w:val="ECHRPara"/>
        <w:rPr>
          <w:lang w:val="en-GB"/>
        </w:rPr>
      </w:pPr>
      <w:r>
        <w:rPr>
          <w:lang w:val="en-GB"/>
        </w:rPr>
        <w:fldChar w:fldCharType="begin"/>
      </w:r>
      <w:r>
        <w:rPr>
          <w:lang w:val="en-GB"/>
        </w:rPr>
        <w:instrText xml:space="preserve"> SEQ level0 \*arabic </w:instrText>
      </w:r>
      <w:r>
        <w:rPr>
          <w:lang w:val="en-GB"/>
        </w:rPr>
        <w:fldChar w:fldCharType="separate"/>
      </w:r>
      <w:r w:rsidR="00D471CA">
        <w:rPr>
          <w:noProof/>
          <w:lang w:val="en-GB"/>
        </w:rPr>
        <w:t>91</w:t>
      </w:r>
      <w:r>
        <w:rPr>
          <w:lang w:val="en-GB"/>
        </w:rPr>
        <w:fldChar w:fldCharType="end"/>
      </w:r>
      <w:r>
        <w:rPr>
          <w:lang w:val="en-GB"/>
        </w:rPr>
        <w:t>.  </w:t>
      </w:r>
      <w:r w:rsidR="00F71A6A" w:rsidRPr="00B46173">
        <w:rPr>
          <w:lang w:val="en-GB"/>
        </w:rPr>
        <w:t>The Government contested that argument.</w:t>
      </w:r>
    </w:p>
    <w:p w:rsidR="00632A2E" w:rsidRDefault="00553AB2" w:rsidP="009B0194">
      <w:pPr>
        <w:pStyle w:val="ECHRHeading2"/>
        <w:rPr>
          <w:lang w:val="en-GB"/>
        </w:rPr>
      </w:pPr>
      <w:r>
        <w:rPr>
          <w:lang w:val="en-GB"/>
        </w:rPr>
        <w:t>A.  </w:t>
      </w:r>
      <w:r w:rsidR="00A911DB" w:rsidRPr="00A911DB">
        <w:rPr>
          <w:lang w:val="en-GB"/>
        </w:rPr>
        <w:t>The parties</w:t>
      </w:r>
      <w:r w:rsidR="00864D90">
        <w:rPr>
          <w:lang w:val="en-GB"/>
        </w:rPr>
        <w:t>’</w:t>
      </w:r>
      <w:r w:rsidR="00A911DB" w:rsidRPr="00A911DB">
        <w:rPr>
          <w:lang w:val="en-GB"/>
        </w:rPr>
        <w:t xml:space="preserve"> observations</w:t>
      </w:r>
    </w:p>
    <w:p w:rsidR="009E0147" w:rsidRDefault="00851F3A" w:rsidP="009B0194">
      <w:pPr>
        <w:pStyle w:val="ECHRPara"/>
        <w:rPr>
          <w:lang w:val="en-GB"/>
        </w:rPr>
      </w:pPr>
      <w:r>
        <w:rPr>
          <w:lang w:val="en-GB"/>
        </w:rPr>
        <w:fldChar w:fldCharType="begin"/>
      </w:r>
      <w:r>
        <w:rPr>
          <w:lang w:val="en-GB"/>
        </w:rPr>
        <w:instrText xml:space="preserve"> SEQ level0 \*arabic </w:instrText>
      </w:r>
      <w:r>
        <w:rPr>
          <w:lang w:val="en-GB"/>
        </w:rPr>
        <w:fldChar w:fldCharType="separate"/>
      </w:r>
      <w:r w:rsidR="00D471CA">
        <w:rPr>
          <w:noProof/>
          <w:lang w:val="en-GB"/>
        </w:rPr>
        <w:t>92</w:t>
      </w:r>
      <w:r>
        <w:rPr>
          <w:lang w:val="en-GB"/>
        </w:rPr>
        <w:fldChar w:fldCharType="end"/>
      </w:r>
      <w:r>
        <w:rPr>
          <w:lang w:val="en-GB"/>
        </w:rPr>
        <w:t>.  </w:t>
      </w:r>
      <w:r w:rsidR="003C1DEA">
        <w:rPr>
          <w:lang w:val="en-GB"/>
        </w:rPr>
        <w:t>The applicant</w:t>
      </w:r>
      <w:r w:rsidR="00A01BFA">
        <w:rPr>
          <w:lang w:val="en-GB"/>
        </w:rPr>
        <w:t xml:space="preserve"> companie</w:t>
      </w:r>
      <w:r w:rsidR="003C1DEA">
        <w:rPr>
          <w:lang w:val="en-GB"/>
        </w:rPr>
        <w:t xml:space="preserve">s considered that </w:t>
      </w:r>
      <w:r w:rsidR="00A01BFA">
        <w:rPr>
          <w:lang w:val="en-GB"/>
        </w:rPr>
        <w:t xml:space="preserve">they had </w:t>
      </w:r>
      <w:r w:rsidR="003020C4">
        <w:rPr>
          <w:lang w:val="en-GB"/>
        </w:rPr>
        <w:t xml:space="preserve">had </w:t>
      </w:r>
      <w:r w:rsidR="00A01BFA">
        <w:rPr>
          <w:lang w:val="en-GB"/>
        </w:rPr>
        <w:t xml:space="preserve">a </w:t>
      </w:r>
      <w:r w:rsidR="00584499">
        <w:rPr>
          <w:lang w:val="en-GB"/>
        </w:rPr>
        <w:t xml:space="preserve">possession in the form of a </w:t>
      </w:r>
      <w:r w:rsidR="00A01BFA">
        <w:rPr>
          <w:lang w:val="en-GB"/>
        </w:rPr>
        <w:t xml:space="preserve">claim, </w:t>
      </w:r>
      <w:r w:rsidR="003C1DEA">
        <w:rPr>
          <w:lang w:val="en-GB"/>
        </w:rPr>
        <w:t>in so far as the INPS held monies which</w:t>
      </w:r>
      <w:r w:rsidR="00A01BFA">
        <w:rPr>
          <w:lang w:val="en-GB"/>
        </w:rPr>
        <w:t xml:space="preserve"> the applicant companies had paid despite the law providing otherwise, and which </w:t>
      </w:r>
      <w:r w:rsidR="005639A9">
        <w:rPr>
          <w:lang w:val="en-GB"/>
        </w:rPr>
        <w:t>t</w:t>
      </w:r>
      <w:r w:rsidR="00584499">
        <w:rPr>
          <w:lang w:val="en-GB"/>
        </w:rPr>
        <w:t xml:space="preserve">hey </w:t>
      </w:r>
      <w:r w:rsidR="003020C4">
        <w:rPr>
          <w:lang w:val="en-GB"/>
        </w:rPr>
        <w:t xml:space="preserve">had </w:t>
      </w:r>
      <w:r w:rsidR="005639A9">
        <w:rPr>
          <w:lang w:val="en-GB"/>
        </w:rPr>
        <w:t>legitimately expected to recover from the INPS</w:t>
      </w:r>
      <w:r w:rsidR="00A01BFA">
        <w:rPr>
          <w:lang w:val="en-GB"/>
        </w:rPr>
        <w:t>. That claim had</w:t>
      </w:r>
      <w:r w:rsidR="00584499">
        <w:rPr>
          <w:lang w:val="en-GB"/>
        </w:rPr>
        <w:t>, at the time</w:t>
      </w:r>
      <w:r w:rsidR="00584499" w:rsidRPr="00584499">
        <w:rPr>
          <w:lang w:val="en-GB"/>
        </w:rPr>
        <w:t xml:space="preserve"> </w:t>
      </w:r>
      <w:r w:rsidR="00584499">
        <w:rPr>
          <w:lang w:val="en-GB"/>
        </w:rPr>
        <w:t>when judicial proceedings were undertaken,</w:t>
      </w:r>
      <w:r w:rsidR="00A01BFA">
        <w:rPr>
          <w:lang w:val="en-GB"/>
        </w:rPr>
        <w:t xml:space="preserve"> constituted a</w:t>
      </w:r>
      <w:r w:rsidR="00584499">
        <w:rPr>
          <w:lang w:val="en-GB"/>
        </w:rPr>
        <w:t>n existing</w:t>
      </w:r>
      <w:r w:rsidR="00A01BFA">
        <w:rPr>
          <w:lang w:val="en-GB"/>
        </w:rPr>
        <w:t xml:space="preserve"> pos</w:t>
      </w:r>
      <w:r w:rsidR="00584499">
        <w:rPr>
          <w:lang w:val="en-GB"/>
        </w:rPr>
        <w:t xml:space="preserve">session </w:t>
      </w:r>
      <w:r w:rsidR="005639A9">
        <w:rPr>
          <w:lang w:val="en-GB"/>
        </w:rPr>
        <w:t xml:space="preserve">in accordance with the law in force, and even more so when </w:t>
      </w:r>
      <w:r w:rsidR="00584499">
        <w:rPr>
          <w:lang w:val="en-GB"/>
        </w:rPr>
        <w:t>Law no. 326/03</w:t>
      </w:r>
      <w:r w:rsidR="005639A9">
        <w:rPr>
          <w:lang w:val="en-GB"/>
        </w:rPr>
        <w:t xml:space="preserve"> was enacted, given that </w:t>
      </w:r>
      <w:r w:rsidR="008B05B3">
        <w:rPr>
          <w:lang w:val="en-GB"/>
        </w:rPr>
        <w:t>by that</w:t>
      </w:r>
      <w:r w:rsidR="00584499">
        <w:rPr>
          <w:lang w:val="en-GB"/>
        </w:rPr>
        <w:t xml:space="preserve"> time their</w:t>
      </w:r>
      <w:r w:rsidR="005639A9">
        <w:rPr>
          <w:lang w:val="en-GB"/>
        </w:rPr>
        <w:t xml:space="preserve"> claim</w:t>
      </w:r>
      <w:r w:rsidR="00B27720">
        <w:rPr>
          <w:lang w:val="en-GB"/>
        </w:rPr>
        <w:t>s</w:t>
      </w:r>
      <w:r w:rsidR="005639A9">
        <w:rPr>
          <w:lang w:val="en-GB"/>
        </w:rPr>
        <w:t xml:space="preserve"> had been </w:t>
      </w:r>
      <w:r w:rsidR="003020C4">
        <w:rPr>
          <w:lang w:val="en-GB"/>
        </w:rPr>
        <w:t xml:space="preserve">granted </w:t>
      </w:r>
      <w:r w:rsidR="005639A9">
        <w:rPr>
          <w:lang w:val="en-GB"/>
        </w:rPr>
        <w:t xml:space="preserve">by the first-instance court and on appeal. </w:t>
      </w:r>
      <w:r w:rsidR="002420A8">
        <w:rPr>
          <w:lang w:val="en-GB"/>
        </w:rPr>
        <w:t>R</w:t>
      </w:r>
      <w:r w:rsidR="00485A27">
        <w:rPr>
          <w:lang w:val="en-GB"/>
        </w:rPr>
        <w:t xml:space="preserve">eferring </w:t>
      </w:r>
      <w:r w:rsidR="002420A8">
        <w:rPr>
          <w:lang w:val="en-GB"/>
        </w:rPr>
        <w:t xml:space="preserve">in particular </w:t>
      </w:r>
      <w:r w:rsidR="00485A27">
        <w:rPr>
          <w:lang w:val="en-GB"/>
        </w:rPr>
        <w:t>to the Court of Cassation</w:t>
      </w:r>
      <w:r w:rsidR="00864D90">
        <w:rPr>
          <w:lang w:val="en-GB"/>
        </w:rPr>
        <w:t>’</w:t>
      </w:r>
      <w:r w:rsidR="003020C4">
        <w:rPr>
          <w:lang w:val="en-GB"/>
        </w:rPr>
        <w:t>s</w:t>
      </w:r>
      <w:r w:rsidR="00485A27">
        <w:rPr>
          <w:lang w:val="en-GB"/>
        </w:rPr>
        <w:t xml:space="preserve"> judgments nos. 14227/00 and 17806/03</w:t>
      </w:r>
      <w:r w:rsidR="00E03B7E">
        <w:rPr>
          <w:lang w:val="en-GB"/>
        </w:rPr>
        <w:t xml:space="preserve"> (paragraphs 53 and 54 above)</w:t>
      </w:r>
      <w:r w:rsidR="00485A27">
        <w:rPr>
          <w:lang w:val="en-GB"/>
        </w:rPr>
        <w:t>, the applicant companies submitted that the circumstances at issue fulfilled the criteri</w:t>
      </w:r>
      <w:r w:rsidR="00B27720">
        <w:rPr>
          <w:lang w:val="en-GB"/>
        </w:rPr>
        <w:t>on</w:t>
      </w:r>
      <w:r w:rsidR="00485A27">
        <w:rPr>
          <w:lang w:val="en-GB"/>
        </w:rPr>
        <w:t xml:space="preserve"> </w:t>
      </w:r>
      <w:r w:rsidR="00344D2F">
        <w:rPr>
          <w:lang w:val="en-GB"/>
        </w:rPr>
        <w:t>according to which</w:t>
      </w:r>
      <w:r w:rsidR="00485A27">
        <w:rPr>
          <w:lang w:val="en-GB"/>
        </w:rPr>
        <w:t xml:space="preserve"> a claim could be demonstrated if it was sufficiently certain in national law</w:t>
      </w:r>
      <w:r w:rsidR="002420A8">
        <w:rPr>
          <w:lang w:val="en-GB"/>
        </w:rPr>
        <w:t>,</w:t>
      </w:r>
      <w:r w:rsidR="00485A27">
        <w:rPr>
          <w:lang w:val="en-GB"/>
        </w:rPr>
        <w:t xml:space="preserve"> such as when it </w:t>
      </w:r>
      <w:r w:rsidR="002420A8">
        <w:rPr>
          <w:lang w:val="en-GB"/>
        </w:rPr>
        <w:t xml:space="preserve">had been </w:t>
      </w:r>
      <w:r w:rsidR="00485A27">
        <w:rPr>
          <w:lang w:val="en-GB"/>
        </w:rPr>
        <w:t xml:space="preserve">confirmed by </w:t>
      </w:r>
      <w:r w:rsidR="002420A8">
        <w:rPr>
          <w:lang w:val="en-GB"/>
        </w:rPr>
        <w:t xml:space="preserve">the </w:t>
      </w:r>
      <w:r w:rsidR="00485A27">
        <w:rPr>
          <w:lang w:val="en-GB"/>
        </w:rPr>
        <w:t xml:space="preserve">established </w:t>
      </w:r>
      <w:r w:rsidR="002420A8">
        <w:rPr>
          <w:lang w:val="en-GB"/>
        </w:rPr>
        <w:t xml:space="preserve">case-law </w:t>
      </w:r>
      <w:r w:rsidR="00485A27">
        <w:rPr>
          <w:lang w:val="en-GB"/>
        </w:rPr>
        <w:t>of the courts. Thus</w:t>
      </w:r>
      <w:r>
        <w:rPr>
          <w:lang w:val="en-GB"/>
        </w:rPr>
        <w:t>,</w:t>
      </w:r>
      <w:r w:rsidR="00D13916">
        <w:rPr>
          <w:lang w:val="en-GB"/>
        </w:rPr>
        <w:t xml:space="preserve"> in the absence of L</w:t>
      </w:r>
      <w:r w:rsidR="00485A27">
        <w:rPr>
          <w:lang w:val="en-GB"/>
        </w:rPr>
        <w:t>aw no. 326/03 the applicant</w:t>
      </w:r>
      <w:r w:rsidR="00064F2E">
        <w:rPr>
          <w:lang w:val="en-GB"/>
        </w:rPr>
        <w:t xml:space="preserve"> companie</w:t>
      </w:r>
      <w:r w:rsidR="00485A27">
        <w:rPr>
          <w:lang w:val="en-GB"/>
        </w:rPr>
        <w:t xml:space="preserve">s </w:t>
      </w:r>
      <w:r w:rsidR="002420A8">
        <w:rPr>
          <w:lang w:val="en-GB"/>
        </w:rPr>
        <w:t xml:space="preserve">had </w:t>
      </w:r>
      <w:r w:rsidR="00485A27">
        <w:rPr>
          <w:lang w:val="en-GB"/>
        </w:rPr>
        <w:t xml:space="preserve">not only </w:t>
      </w:r>
      <w:r w:rsidR="002420A8">
        <w:rPr>
          <w:lang w:val="en-GB"/>
        </w:rPr>
        <w:t xml:space="preserve">had </w:t>
      </w:r>
      <w:r w:rsidR="00485A27">
        <w:rPr>
          <w:lang w:val="en-GB"/>
        </w:rPr>
        <w:t>a legitimate expectation</w:t>
      </w:r>
      <w:r w:rsidR="002420A8" w:rsidRPr="002420A8">
        <w:rPr>
          <w:lang w:val="en-GB"/>
        </w:rPr>
        <w:t xml:space="preserve"> </w:t>
      </w:r>
      <w:r w:rsidR="002420A8">
        <w:rPr>
          <w:lang w:val="en-GB"/>
        </w:rPr>
        <w:t>to obtain their claims,</w:t>
      </w:r>
      <w:r w:rsidR="00485A27">
        <w:rPr>
          <w:lang w:val="en-GB"/>
        </w:rPr>
        <w:t xml:space="preserve"> </w:t>
      </w:r>
      <w:r w:rsidR="00344D2F">
        <w:rPr>
          <w:lang w:val="en-GB"/>
        </w:rPr>
        <w:t xml:space="preserve">they </w:t>
      </w:r>
      <w:r w:rsidR="002420A8">
        <w:rPr>
          <w:lang w:val="en-GB"/>
        </w:rPr>
        <w:t>had been almost</w:t>
      </w:r>
      <w:r w:rsidR="00485A27">
        <w:rPr>
          <w:lang w:val="en-GB"/>
        </w:rPr>
        <w:t xml:space="preserve"> certain</w:t>
      </w:r>
      <w:r w:rsidR="002420A8">
        <w:rPr>
          <w:lang w:val="en-GB"/>
        </w:rPr>
        <w:t xml:space="preserve"> of it</w:t>
      </w:r>
      <w:r w:rsidR="00485A27">
        <w:rPr>
          <w:lang w:val="en-GB"/>
        </w:rPr>
        <w:t>.</w:t>
      </w:r>
    </w:p>
    <w:p w:rsidR="00584499" w:rsidRDefault="009E0147" w:rsidP="009B0194">
      <w:pPr>
        <w:pStyle w:val="ECHRPara"/>
        <w:rPr>
          <w:lang w:val="en-GB"/>
        </w:rPr>
      </w:pPr>
      <w:r>
        <w:rPr>
          <w:lang w:val="en-GB"/>
        </w:rPr>
        <w:fldChar w:fldCharType="begin"/>
      </w:r>
      <w:r>
        <w:rPr>
          <w:lang w:val="en-GB"/>
        </w:rPr>
        <w:instrText xml:space="preserve"> SEQ level0 \*arabic </w:instrText>
      </w:r>
      <w:r>
        <w:rPr>
          <w:lang w:val="en-GB"/>
        </w:rPr>
        <w:fldChar w:fldCharType="separate"/>
      </w:r>
      <w:r w:rsidR="00D471CA">
        <w:rPr>
          <w:noProof/>
          <w:lang w:val="en-GB"/>
        </w:rPr>
        <w:t>93</w:t>
      </w:r>
      <w:r>
        <w:rPr>
          <w:lang w:val="en-GB"/>
        </w:rPr>
        <w:fldChar w:fldCharType="end"/>
      </w:r>
      <w:r>
        <w:rPr>
          <w:lang w:val="en-GB"/>
        </w:rPr>
        <w:t>.  </w:t>
      </w:r>
      <w:r w:rsidR="00584499">
        <w:rPr>
          <w:lang w:val="en-GB"/>
        </w:rPr>
        <w:t xml:space="preserve">The applicant companies considered that </w:t>
      </w:r>
      <w:r w:rsidR="00A62C8C">
        <w:rPr>
          <w:lang w:val="en-GB"/>
        </w:rPr>
        <w:t xml:space="preserve">the enactment of </w:t>
      </w:r>
      <w:r w:rsidR="00584499">
        <w:rPr>
          <w:lang w:val="en-GB"/>
        </w:rPr>
        <w:t xml:space="preserve">Law </w:t>
      </w:r>
      <w:r w:rsidR="00553AB2">
        <w:rPr>
          <w:lang w:val="en-GB"/>
        </w:rPr>
        <w:t>no. </w:t>
      </w:r>
      <w:r w:rsidR="00584499">
        <w:rPr>
          <w:lang w:val="en-GB"/>
        </w:rPr>
        <w:t xml:space="preserve">326/03 </w:t>
      </w:r>
      <w:r w:rsidR="00A62C8C">
        <w:rPr>
          <w:lang w:val="en-GB"/>
        </w:rPr>
        <w:t>amounted to an interference with their property right</w:t>
      </w:r>
      <w:r w:rsidR="002420A8">
        <w:rPr>
          <w:lang w:val="en-GB"/>
        </w:rPr>
        <w:t>,</w:t>
      </w:r>
      <w:r w:rsidR="00A62C8C">
        <w:rPr>
          <w:lang w:val="en-GB"/>
        </w:rPr>
        <w:t xml:space="preserve"> </w:t>
      </w:r>
      <w:r w:rsidR="002420A8">
        <w:rPr>
          <w:lang w:val="en-GB"/>
        </w:rPr>
        <w:t xml:space="preserve">as it </w:t>
      </w:r>
      <w:r w:rsidR="00A62C8C">
        <w:rPr>
          <w:lang w:val="en-GB"/>
        </w:rPr>
        <w:t xml:space="preserve">retroactively and </w:t>
      </w:r>
      <w:r w:rsidR="00A62C8C" w:rsidRPr="008B05B3">
        <w:rPr>
          <w:i/>
          <w:lang w:val="en-GB"/>
        </w:rPr>
        <w:t>ope legis</w:t>
      </w:r>
      <w:r w:rsidR="00A62C8C">
        <w:rPr>
          <w:lang w:val="en-GB"/>
        </w:rPr>
        <w:t xml:space="preserve"> extinguished their claims, thus constituting a deprivation of possessions.</w:t>
      </w:r>
    </w:p>
    <w:p w:rsidR="00632A2E" w:rsidRDefault="009E0147" w:rsidP="009B0194">
      <w:pPr>
        <w:pStyle w:val="ECHRPara"/>
        <w:rPr>
          <w:lang w:val="en-GB"/>
        </w:rPr>
      </w:pPr>
      <w:r>
        <w:rPr>
          <w:lang w:val="en-GB"/>
        </w:rPr>
        <w:fldChar w:fldCharType="begin"/>
      </w:r>
      <w:r>
        <w:rPr>
          <w:lang w:val="en-GB"/>
        </w:rPr>
        <w:instrText xml:space="preserve"> SEQ level0 \*arabic </w:instrText>
      </w:r>
      <w:r>
        <w:rPr>
          <w:lang w:val="en-GB"/>
        </w:rPr>
        <w:fldChar w:fldCharType="separate"/>
      </w:r>
      <w:r w:rsidR="00D471CA">
        <w:rPr>
          <w:noProof/>
          <w:lang w:val="en-GB"/>
        </w:rPr>
        <w:t>94</w:t>
      </w:r>
      <w:r>
        <w:rPr>
          <w:lang w:val="en-GB"/>
        </w:rPr>
        <w:fldChar w:fldCharType="end"/>
      </w:r>
      <w:r>
        <w:rPr>
          <w:lang w:val="en-GB"/>
        </w:rPr>
        <w:t>.  </w:t>
      </w:r>
      <w:r w:rsidR="00A62C8C">
        <w:rPr>
          <w:lang w:val="en-GB"/>
        </w:rPr>
        <w:t xml:space="preserve">While that action had been lawful, it had not pursued any legitimate aim, </w:t>
      </w:r>
      <w:r w:rsidR="002420A8">
        <w:rPr>
          <w:lang w:val="en-GB"/>
        </w:rPr>
        <w:t>having been</w:t>
      </w:r>
      <w:r w:rsidR="00A62C8C">
        <w:rPr>
          <w:lang w:val="en-GB"/>
        </w:rPr>
        <w:t xml:space="preserve"> solely aimed at favouring</w:t>
      </w:r>
      <w:r w:rsidR="00485A27">
        <w:rPr>
          <w:lang w:val="en-GB"/>
        </w:rPr>
        <w:t xml:space="preserve"> the public administration. The</w:t>
      </w:r>
      <w:r w:rsidR="00A62C8C">
        <w:rPr>
          <w:lang w:val="en-GB"/>
        </w:rPr>
        <w:t xml:space="preserve"> applicant companies referred to their observations under Article 6 above and considered that in the absence </w:t>
      </w:r>
      <w:r w:rsidR="002D3AB7">
        <w:rPr>
          <w:lang w:val="en-GB"/>
        </w:rPr>
        <w:t xml:space="preserve">of </w:t>
      </w:r>
      <w:r w:rsidR="00A62C8C">
        <w:rPr>
          <w:lang w:val="en-GB"/>
        </w:rPr>
        <w:t>a legitimate aim there had been a violation of the provision</w:t>
      </w:r>
      <w:r w:rsidR="002420A8">
        <w:rPr>
          <w:lang w:val="en-GB"/>
        </w:rPr>
        <w:t xml:space="preserve"> relied on</w:t>
      </w:r>
      <w:r w:rsidR="00A62C8C">
        <w:rPr>
          <w:lang w:val="en-GB"/>
        </w:rPr>
        <w:t>.</w:t>
      </w:r>
    </w:p>
    <w:p w:rsidR="00632A2E" w:rsidRDefault="00A911DB" w:rsidP="009B0194">
      <w:pPr>
        <w:pStyle w:val="ECHRPara"/>
        <w:rPr>
          <w:lang w:val="en-GB"/>
        </w:rPr>
      </w:pPr>
      <w:r>
        <w:rPr>
          <w:lang w:val="en-GB"/>
        </w:rPr>
        <w:fldChar w:fldCharType="begin"/>
      </w:r>
      <w:r>
        <w:rPr>
          <w:lang w:val="en-GB"/>
        </w:rPr>
        <w:instrText xml:space="preserve"> SEQ level0 \*arabic </w:instrText>
      </w:r>
      <w:r>
        <w:rPr>
          <w:lang w:val="en-GB"/>
        </w:rPr>
        <w:fldChar w:fldCharType="separate"/>
      </w:r>
      <w:r w:rsidR="00D471CA">
        <w:rPr>
          <w:noProof/>
          <w:lang w:val="en-GB"/>
        </w:rPr>
        <w:t>95</w:t>
      </w:r>
      <w:r>
        <w:rPr>
          <w:lang w:val="en-GB"/>
        </w:rPr>
        <w:fldChar w:fldCharType="end"/>
      </w:r>
      <w:r>
        <w:rPr>
          <w:lang w:val="en-GB"/>
        </w:rPr>
        <w:t>.  </w:t>
      </w:r>
      <w:r w:rsidR="00A62C8C">
        <w:rPr>
          <w:lang w:val="en-GB"/>
        </w:rPr>
        <w:t xml:space="preserve">However, without prejudice to the above, even assuming </w:t>
      </w:r>
      <w:r w:rsidR="0086333E">
        <w:rPr>
          <w:lang w:val="en-GB"/>
        </w:rPr>
        <w:t xml:space="preserve">that </w:t>
      </w:r>
      <w:r w:rsidR="00A62C8C">
        <w:rPr>
          <w:lang w:val="en-GB"/>
        </w:rPr>
        <w:t>the aim was legitimate</w:t>
      </w:r>
      <w:r w:rsidR="008B05B3">
        <w:rPr>
          <w:lang w:val="en-GB"/>
        </w:rPr>
        <w:t>, it had not been proportionate</w:t>
      </w:r>
      <w:r w:rsidR="00A62C8C">
        <w:rPr>
          <w:lang w:val="en-GB"/>
        </w:rPr>
        <w:t xml:space="preserve"> in so far as it had imposed an excessive burden on the applicant </w:t>
      </w:r>
      <w:r w:rsidR="00EC1114">
        <w:rPr>
          <w:lang w:val="en-GB"/>
        </w:rPr>
        <w:t>companies. Indeed</w:t>
      </w:r>
      <w:r w:rsidR="0086333E">
        <w:rPr>
          <w:lang w:val="en-GB"/>
        </w:rPr>
        <w:t>,</w:t>
      </w:r>
      <w:r w:rsidR="00EC1114">
        <w:rPr>
          <w:lang w:val="en-GB"/>
        </w:rPr>
        <w:t xml:space="preserve"> their claim had not been reduced but totally extinguished, simply </w:t>
      </w:r>
      <w:r w:rsidR="0086333E">
        <w:rPr>
          <w:lang w:val="en-GB"/>
        </w:rPr>
        <w:t xml:space="preserve">so </w:t>
      </w:r>
      <w:r w:rsidR="00EC1114">
        <w:rPr>
          <w:lang w:val="en-GB"/>
        </w:rPr>
        <w:t xml:space="preserve">the State </w:t>
      </w:r>
      <w:r w:rsidR="0086333E">
        <w:rPr>
          <w:lang w:val="en-GB"/>
        </w:rPr>
        <w:t xml:space="preserve">could </w:t>
      </w:r>
      <w:r w:rsidR="00EC1114">
        <w:rPr>
          <w:lang w:val="en-GB"/>
        </w:rPr>
        <w:t>avoid disbursing the dues.</w:t>
      </w:r>
    </w:p>
    <w:p w:rsidR="009E0147" w:rsidRDefault="00A911DB" w:rsidP="009B0194">
      <w:pPr>
        <w:pStyle w:val="ECHRPara"/>
        <w:rPr>
          <w:lang w:val="en-GB"/>
        </w:rPr>
      </w:pPr>
      <w:r>
        <w:fldChar w:fldCharType="begin"/>
      </w:r>
      <w:r w:rsidRPr="00851F3A">
        <w:rPr>
          <w:lang w:val="en-GB"/>
        </w:rPr>
        <w:instrText xml:space="preserve"> SEQ level0 \*arabic </w:instrText>
      </w:r>
      <w:r>
        <w:fldChar w:fldCharType="separate"/>
      </w:r>
      <w:r w:rsidR="00D471CA">
        <w:rPr>
          <w:noProof/>
          <w:lang w:val="en-GB"/>
        </w:rPr>
        <w:t>96</w:t>
      </w:r>
      <w:r>
        <w:fldChar w:fldCharType="end"/>
      </w:r>
      <w:r w:rsidRPr="00851F3A">
        <w:rPr>
          <w:lang w:val="en-GB"/>
        </w:rPr>
        <w:t>.  </w:t>
      </w:r>
      <w:r>
        <w:rPr>
          <w:lang w:val="en-GB"/>
        </w:rPr>
        <w:t xml:space="preserve">The Government considered that Law no. 326/03 </w:t>
      </w:r>
      <w:r w:rsidR="0086333E">
        <w:rPr>
          <w:lang w:val="en-GB"/>
        </w:rPr>
        <w:t xml:space="preserve">had </w:t>
      </w:r>
      <w:r>
        <w:rPr>
          <w:lang w:val="en-GB"/>
        </w:rPr>
        <w:t>not interfere</w:t>
      </w:r>
      <w:r w:rsidR="0086333E">
        <w:rPr>
          <w:lang w:val="en-GB"/>
        </w:rPr>
        <w:t>d</w:t>
      </w:r>
      <w:r>
        <w:rPr>
          <w:lang w:val="en-GB"/>
        </w:rPr>
        <w:t xml:space="preserve"> with any right or legitimate expectation acquired by the applicant companies.</w:t>
      </w:r>
    </w:p>
    <w:p w:rsidR="00584499" w:rsidRDefault="009E0147" w:rsidP="009B0194">
      <w:pPr>
        <w:pStyle w:val="ECHRPara"/>
        <w:rPr>
          <w:lang w:val="en-GB"/>
        </w:rPr>
      </w:pPr>
      <w:r>
        <w:rPr>
          <w:lang w:val="en-GB"/>
        </w:rPr>
        <w:fldChar w:fldCharType="begin"/>
      </w:r>
      <w:r>
        <w:rPr>
          <w:lang w:val="en-GB"/>
        </w:rPr>
        <w:instrText xml:space="preserve"> SEQ level0 \*arabic </w:instrText>
      </w:r>
      <w:r>
        <w:rPr>
          <w:lang w:val="en-GB"/>
        </w:rPr>
        <w:fldChar w:fldCharType="separate"/>
      </w:r>
      <w:r w:rsidR="00D471CA">
        <w:rPr>
          <w:noProof/>
          <w:lang w:val="en-GB"/>
        </w:rPr>
        <w:t>97</w:t>
      </w:r>
      <w:r>
        <w:rPr>
          <w:lang w:val="en-GB"/>
        </w:rPr>
        <w:fldChar w:fldCharType="end"/>
      </w:r>
      <w:r>
        <w:rPr>
          <w:lang w:val="en-GB"/>
        </w:rPr>
        <w:t>.  </w:t>
      </w:r>
      <w:r w:rsidR="00423352">
        <w:rPr>
          <w:lang w:val="en-GB"/>
        </w:rPr>
        <w:t>According to the Government, manag</w:t>
      </w:r>
      <w:r w:rsidR="002A729F">
        <w:rPr>
          <w:lang w:val="en-GB"/>
        </w:rPr>
        <w:t xml:space="preserve">ing </w:t>
      </w:r>
      <w:r w:rsidR="00423352">
        <w:rPr>
          <w:lang w:val="en-GB"/>
        </w:rPr>
        <w:t xml:space="preserve">tax reductions, concessions </w:t>
      </w:r>
      <w:r w:rsidR="0086333E">
        <w:rPr>
          <w:lang w:val="en-GB"/>
        </w:rPr>
        <w:t>and so on</w:t>
      </w:r>
      <w:r w:rsidR="00423352">
        <w:rPr>
          <w:lang w:val="en-GB"/>
        </w:rPr>
        <w:t xml:space="preserve"> </w:t>
      </w:r>
      <w:r w:rsidR="002A729F">
        <w:rPr>
          <w:lang w:val="en-GB"/>
        </w:rPr>
        <w:t>and modifying such rules over time, whether in a more or a less favourable manner, was an action which fell within the margin of appreciation of States. The Government also opined that the Court</w:t>
      </w:r>
      <w:r w:rsidR="00864D90">
        <w:rPr>
          <w:lang w:val="en-GB"/>
        </w:rPr>
        <w:t>’</w:t>
      </w:r>
      <w:r w:rsidR="002A729F">
        <w:rPr>
          <w:lang w:val="en-GB"/>
        </w:rPr>
        <w:t>s findings</w:t>
      </w:r>
      <w:r w:rsidR="004F1F15">
        <w:rPr>
          <w:lang w:val="en-GB"/>
        </w:rPr>
        <w:t xml:space="preserve"> in respect of complaints under Article 1 of Protocol </w:t>
      </w:r>
      <w:r w:rsidR="00B27720">
        <w:rPr>
          <w:lang w:val="en-GB"/>
        </w:rPr>
        <w:t>N</w:t>
      </w:r>
      <w:r w:rsidR="004F1F15">
        <w:rPr>
          <w:lang w:val="en-GB"/>
        </w:rPr>
        <w:t xml:space="preserve">o. 1 </w:t>
      </w:r>
      <w:r w:rsidR="002A729F">
        <w:rPr>
          <w:lang w:val="en-GB"/>
        </w:rPr>
        <w:t xml:space="preserve">in </w:t>
      </w:r>
      <w:r w:rsidR="002A729F" w:rsidRPr="00B668D2">
        <w:rPr>
          <w:i/>
          <w:lang w:val="en-GB"/>
        </w:rPr>
        <w:t>Maggio and Others v. Italy</w:t>
      </w:r>
      <w:r w:rsidR="002A729F" w:rsidRPr="00B668D2">
        <w:rPr>
          <w:lang w:val="en-GB"/>
        </w:rPr>
        <w:t xml:space="preserve"> </w:t>
      </w:r>
      <w:r w:rsidR="00E4256A">
        <w:rPr>
          <w:lang w:val="en-GB"/>
        </w:rPr>
        <w:t>(</w:t>
      </w:r>
      <w:r w:rsidR="002A729F" w:rsidRPr="00B668D2">
        <w:rPr>
          <w:lang w:val="en-GB"/>
        </w:rPr>
        <w:t>nos. 46286/09, 52851/08, 53727/08, 54486/08 and 56001/08</w:t>
      </w:r>
      <w:r w:rsidR="00E4256A">
        <w:rPr>
          <w:snapToGrid w:val="0"/>
          <w:szCs w:val="24"/>
          <w:lang w:val="en-GB"/>
        </w:rPr>
        <w:t>,</w:t>
      </w:r>
      <w:r w:rsidR="002A729F" w:rsidRPr="00B668D2">
        <w:rPr>
          <w:snapToGrid w:val="0"/>
          <w:szCs w:val="24"/>
          <w:lang w:val="en-GB"/>
        </w:rPr>
        <w:t xml:space="preserve"> 31 May 2011</w:t>
      </w:r>
      <w:r w:rsidR="00E4256A">
        <w:rPr>
          <w:snapToGrid w:val="0"/>
          <w:szCs w:val="24"/>
          <w:lang w:val="en-GB"/>
        </w:rPr>
        <w:t>)</w:t>
      </w:r>
      <w:r w:rsidR="00B27720">
        <w:rPr>
          <w:snapToGrid w:val="0"/>
          <w:szCs w:val="24"/>
          <w:lang w:val="en-GB"/>
        </w:rPr>
        <w:t>,</w:t>
      </w:r>
      <w:r w:rsidR="002A729F">
        <w:rPr>
          <w:snapToGrid w:val="0"/>
          <w:szCs w:val="24"/>
          <w:lang w:val="en-GB"/>
        </w:rPr>
        <w:t xml:space="preserve"> </w:t>
      </w:r>
      <w:r w:rsidR="002A729F" w:rsidRPr="00B668D2">
        <w:rPr>
          <w:i/>
          <w:lang w:val="en-GB"/>
        </w:rPr>
        <w:t>Arras and Others v. Italy</w:t>
      </w:r>
      <w:r w:rsidR="002A729F" w:rsidRPr="00B668D2">
        <w:rPr>
          <w:lang w:val="en-GB"/>
        </w:rPr>
        <w:t xml:space="preserve"> </w:t>
      </w:r>
      <w:r w:rsidR="00E4256A">
        <w:rPr>
          <w:lang w:val="en-GB"/>
        </w:rPr>
        <w:t>(</w:t>
      </w:r>
      <w:r w:rsidR="002A729F" w:rsidRPr="00B668D2">
        <w:rPr>
          <w:lang w:val="en-GB"/>
        </w:rPr>
        <w:t>no. 17972/07</w:t>
      </w:r>
      <w:r w:rsidR="002A729F" w:rsidRPr="00B668D2">
        <w:rPr>
          <w:snapToGrid w:val="0"/>
          <w:szCs w:val="24"/>
          <w:lang w:val="en-GB"/>
        </w:rPr>
        <w:t xml:space="preserve">, </w:t>
      </w:r>
      <w:r w:rsidR="00553AB2">
        <w:rPr>
          <w:snapToGrid w:val="0"/>
          <w:szCs w:val="24"/>
          <w:lang w:val="en-GB"/>
        </w:rPr>
        <w:t>14 </w:t>
      </w:r>
      <w:r w:rsidR="002A729F" w:rsidRPr="00B668D2">
        <w:rPr>
          <w:snapToGrid w:val="0"/>
          <w:szCs w:val="24"/>
          <w:lang w:val="en-GB"/>
        </w:rPr>
        <w:t>February 2012</w:t>
      </w:r>
      <w:r w:rsidR="00E4256A">
        <w:rPr>
          <w:snapToGrid w:val="0"/>
          <w:szCs w:val="24"/>
          <w:lang w:val="en-GB"/>
        </w:rPr>
        <w:t>)</w:t>
      </w:r>
      <w:r w:rsidR="00B27720">
        <w:rPr>
          <w:snapToGrid w:val="0"/>
          <w:szCs w:val="24"/>
          <w:lang w:val="en-GB"/>
        </w:rPr>
        <w:t>,</w:t>
      </w:r>
      <w:r w:rsidR="002A729F">
        <w:rPr>
          <w:snapToGrid w:val="0"/>
          <w:szCs w:val="24"/>
          <w:lang w:val="en-GB"/>
        </w:rPr>
        <w:t xml:space="preserve"> </w:t>
      </w:r>
      <w:r w:rsidR="002A729F" w:rsidRPr="002A729F">
        <w:rPr>
          <w:i/>
          <w:lang w:val="en-US" w:eastAsia="en-US"/>
        </w:rPr>
        <w:t>Torri and Others v. Italy</w:t>
      </w:r>
      <w:r w:rsidR="002A729F" w:rsidRPr="002A729F">
        <w:rPr>
          <w:lang w:val="en-US" w:eastAsia="en-US"/>
        </w:rPr>
        <w:t xml:space="preserve"> </w:t>
      </w:r>
      <w:r w:rsidR="00E4256A">
        <w:rPr>
          <w:lang w:val="en-US" w:eastAsia="en-US"/>
        </w:rPr>
        <w:t>(</w:t>
      </w:r>
      <w:r w:rsidR="002A729F" w:rsidRPr="002A729F">
        <w:rPr>
          <w:lang w:val="en-US" w:eastAsia="en-US"/>
        </w:rPr>
        <w:t>(dec.), nos.</w:t>
      </w:r>
      <w:r w:rsidR="002A729F">
        <w:rPr>
          <w:lang w:val="en-US" w:eastAsia="en-US"/>
        </w:rPr>
        <w:t xml:space="preserve"> 11838/07 and 12302/07, </w:t>
      </w:r>
      <w:r w:rsidR="002A729F" w:rsidRPr="002A729F">
        <w:rPr>
          <w:lang w:val="en-US" w:eastAsia="en-US"/>
        </w:rPr>
        <w:t>24 January 2012</w:t>
      </w:r>
      <w:r w:rsidR="00E4256A">
        <w:rPr>
          <w:lang w:val="en-US" w:eastAsia="en-US"/>
        </w:rPr>
        <w:t>)</w:t>
      </w:r>
      <w:r w:rsidR="00AD54E5">
        <w:rPr>
          <w:lang w:val="en-US" w:eastAsia="en-US"/>
        </w:rPr>
        <w:t xml:space="preserve"> and </w:t>
      </w:r>
      <w:r w:rsidR="00AD54E5" w:rsidRPr="008B05B3">
        <w:rPr>
          <w:i/>
          <w:lang w:val="en-US" w:eastAsia="en-US"/>
        </w:rPr>
        <w:t>Varesi and Others</w:t>
      </w:r>
      <w:r w:rsidR="00B27720">
        <w:rPr>
          <w:i/>
          <w:lang w:val="en-US" w:eastAsia="en-US"/>
        </w:rPr>
        <w:t xml:space="preserve"> v. Italy</w:t>
      </w:r>
      <w:r w:rsidR="00AD54E5">
        <w:rPr>
          <w:lang w:val="en-US" w:eastAsia="en-US"/>
        </w:rPr>
        <w:t xml:space="preserve"> </w:t>
      </w:r>
      <w:r w:rsidR="008B05B3">
        <w:rPr>
          <w:lang w:val="en-US" w:eastAsia="en-US"/>
        </w:rPr>
        <w:t>(</w:t>
      </w:r>
      <w:r w:rsidR="004F1F15">
        <w:rPr>
          <w:lang w:val="en-US" w:eastAsia="en-US"/>
        </w:rPr>
        <w:t xml:space="preserve">(dec.), </w:t>
      </w:r>
      <w:r w:rsidR="00553AB2">
        <w:rPr>
          <w:lang w:val="en-US" w:eastAsia="en-US"/>
        </w:rPr>
        <w:t>no. </w:t>
      </w:r>
      <w:r w:rsidR="004F1F15">
        <w:rPr>
          <w:lang w:val="en-US" w:eastAsia="en-US"/>
        </w:rPr>
        <w:t>49407/08</w:t>
      </w:r>
      <w:r w:rsidR="00E4256A">
        <w:rPr>
          <w:lang w:val="en-US" w:eastAsia="en-US"/>
        </w:rPr>
        <w:t>,</w:t>
      </w:r>
      <w:r w:rsidR="004F1F15">
        <w:rPr>
          <w:lang w:val="en-US" w:eastAsia="en-US"/>
        </w:rPr>
        <w:t xml:space="preserve"> 12 March 2013)</w:t>
      </w:r>
      <w:r w:rsidR="00E4256A">
        <w:rPr>
          <w:lang w:val="en-US" w:eastAsia="en-US"/>
        </w:rPr>
        <w:t xml:space="preserve"> went</w:t>
      </w:r>
      <w:r w:rsidR="002A729F">
        <w:rPr>
          <w:lang w:val="en-US" w:eastAsia="en-US"/>
        </w:rPr>
        <w:t xml:space="preserve"> to prove that </w:t>
      </w:r>
      <w:r w:rsidR="0086333E">
        <w:rPr>
          <w:lang w:val="en-US" w:eastAsia="en-US"/>
        </w:rPr>
        <w:t xml:space="preserve">the </w:t>
      </w:r>
      <w:r w:rsidR="004F1F15">
        <w:rPr>
          <w:lang w:val="en-US" w:eastAsia="en-US"/>
        </w:rPr>
        <w:t>complaint</w:t>
      </w:r>
      <w:r w:rsidR="00E4256A">
        <w:rPr>
          <w:lang w:val="en-US" w:eastAsia="en-US"/>
        </w:rPr>
        <w:t xml:space="preserve"> was</w:t>
      </w:r>
      <w:r w:rsidR="002A729F">
        <w:rPr>
          <w:lang w:val="en-US" w:eastAsia="en-US"/>
        </w:rPr>
        <w:t xml:space="preserve"> manifestly ill-founded.</w:t>
      </w:r>
    </w:p>
    <w:p w:rsidR="00632A2E" w:rsidRDefault="00A911DB" w:rsidP="009B0194">
      <w:pPr>
        <w:pStyle w:val="ECHRHeading2"/>
        <w:rPr>
          <w:lang w:val="en-GB"/>
        </w:rPr>
      </w:pPr>
      <w:r w:rsidRPr="00A911DB">
        <w:rPr>
          <w:lang w:val="en-GB"/>
        </w:rPr>
        <w:t>B</w:t>
      </w:r>
      <w:r w:rsidR="00553AB2">
        <w:rPr>
          <w:lang w:val="en-GB"/>
        </w:rPr>
        <w:t>.  </w:t>
      </w:r>
      <w:r w:rsidR="009E0147" w:rsidRPr="00A911DB">
        <w:rPr>
          <w:lang w:val="en-GB"/>
        </w:rPr>
        <w:t>The Court</w:t>
      </w:r>
      <w:r w:rsidR="00864D90">
        <w:rPr>
          <w:lang w:val="en-GB"/>
        </w:rPr>
        <w:t>’</w:t>
      </w:r>
      <w:r w:rsidR="009E0147" w:rsidRPr="00A911DB">
        <w:rPr>
          <w:lang w:val="en-GB"/>
        </w:rPr>
        <w:t>s assessment</w:t>
      </w:r>
    </w:p>
    <w:p w:rsidR="00F06B47" w:rsidRPr="00C2608D" w:rsidRDefault="00553AB2" w:rsidP="009B0194">
      <w:pPr>
        <w:pStyle w:val="ECHRHeading3"/>
        <w:rPr>
          <w:lang w:val="en-GB"/>
        </w:rPr>
      </w:pPr>
      <w:r>
        <w:rPr>
          <w:lang w:val="en-GB"/>
        </w:rPr>
        <w:t>1.  </w:t>
      </w:r>
      <w:r w:rsidR="00F06B47" w:rsidRPr="00C2608D">
        <w:rPr>
          <w:lang w:val="en-GB"/>
        </w:rPr>
        <w:t>Admissibility</w:t>
      </w:r>
    </w:p>
    <w:p w:rsidR="00A911DB" w:rsidRDefault="00A911DB" w:rsidP="009B0194">
      <w:pPr>
        <w:pStyle w:val="ECHRPara"/>
        <w:rPr>
          <w:lang w:val="en-GB" w:eastAsia="en-US"/>
        </w:rPr>
      </w:pPr>
      <w:r>
        <w:rPr>
          <w:lang w:val="en-GB"/>
        </w:rPr>
        <w:fldChar w:fldCharType="begin"/>
      </w:r>
      <w:r>
        <w:rPr>
          <w:lang w:val="en-GB"/>
        </w:rPr>
        <w:instrText xml:space="preserve"> SEQ level0 \*arabic </w:instrText>
      </w:r>
      <w:r>
        <w:rPr>
          <w:lang w:val="en-GB"/>
        </w:rPr>
        <w:fldChar w:fldCharType="separate"/>
      </w:r>
      <w:r w:rsidR="00D471CA">
        <w:rPr>
          <w:noProof/>
          <w:lang w:val="en-GB"/>
        </w:rPr>
        <w:t>98</w:t>
      </w:r>
      <w:r>
        <w:rPr>
          <w:lang w:val="en-GB"/>
        </w:rPr>
        <w:fldChar w:fldCharType="end"/>
      </w:r>
      <w:r>
        <w:rPr>
          <w:lang w:val="en-GB"/>
        </w:rPr>
        <w:t>.  </w:t>
      </w:r>
      <w:r w:rsidRPr="009E0147">
        <w:rPr>
          <w:lang w:val="en-GB" w:eastAsia="en-US"/>
        </w:rPr>
        <w:t xml:space="preserve">The Court reiterates that, according to its case-law, an applicant can allege a violation of Article 1 of Protocol No. 1 only in so far as the impugned decisions relate to his “possessions” within the meaning of that provision. “Possessions” can be “existing possessions” or assets, including, in certain well-defined situations, claims. For a claim to be capable of being considered an “asset” falling within the scope of Article 1 of Protocol No. 1, the claimant must establish that it has a sufficient basis in national law, for example where there is settled case-law of the domestic courts confirming it. Where that has been done, the concept of “legitimate expectation” can come into play (see </w:t>
      </w:r>
      <w:r w:rsidRPr="009E0147">
        <w:rPr>
          <w:i/>
          <w:lang w:val="en-GB" w:eastAsia="en-US"/>
        </w:rPr>
        <w:t>Maurice v. France</w:t>
      </w:r>
      <w:r w:rsidRPr="009E0147">
        <w:rPr>
          <w:lang w:val="en-GB" w:eastAsia="en-US"/>
        </w:rPr>
        <w:t xml:space="preserve"> [GC], no.</w:t>
      </w:r>
      <w:r>
        <w:rPr>
          <w:lang w:val="en-GB" w:eastAsia="en-US"/>
        </w:rPr>
        <w:t xml:space="preserve"> 11810/03</w:t>
      </w:r>
      <w:r w:rsidRPr="009E0147">
        <w:rPr>
          <w:lang w:val="en-GB" w:eastAsia="en-US"/>
        </w:rPr>
        <w:t>, § 63, ECHR 2005</w:t>
      </w:r>
      <w:r w:rsidRPr="009E0147">
        <w:rPr>
          <w:lang w:val="en-GB" w:eastAsia="en-US"/>
        </w:rPr>
        <w:noBreakHyphen/>
        <w:t>IX).</w:t>
      </w:r>
    </w:p>
    <w:p w:rsidR="00F06B47" w:rsidRPr="000F058F" w:rsidRDefault="00DB4066" w:rsidP="009B0194">
      <w:pPr>
        <w:pStyle w:val="ECHRPara"/>
        <w:rPr>
          <w:lang w:val="en-GB"/>
        </w:rPr>
      </w:pPr>
      <w:r w:rsidRPr="000F058F">
        <w:rPr>
          <w:lang w:val="en-GB"/>
        </w:rPr>
        <w:fldChar w:fldCharType="begin"/>
      </w:r>
      <w:r w:rsidRPr="000F058F">
        <w:rPr>
          <w:lang w:val="en-GB"/>
        </w:rPr>
        <w:instrText xml:space="preserve"> SEQ level0 \*arabic </w:instrText>
      </w:r>
      <w:r w:rsidRPr="000F058F">
        <w:rPr>
          <w:lang w:val="en-GB"/>
        </w:rPr>
        <w:fldChar w:fldCharType="separate"/>
      </w:r>
      <w:r w:rsidR="00D471CA">
        <w:rPr>
          <w:noProof/>
          <w:lang w:val="en-GB"/>
        </w:rPr>
        <w:t>99</w:t>
      </w:r>
      <w:r w:rsidRPr="000F058F">
        <w:rPr>
          <w:lang w:val="en-GB"/>
        </w:rPr>
        <w:fldChar w:fldCharType="end"/>
      </w:r>
      <w:r w:rsidRPr="000F058F">
        <w:rPr>
          <w:lang w:val="en-GB"/>
        </w:rPr>
        <w:t>.  </w:t>
      </w:r>
      <w:r w:rsidR="00F06B47" w:rsidRPr="000F058F">
        <w:rPr>
          <w:lang w:val="en-GB"/>
        </w:rPr>
        <w:t>The Court notes that</w:t>
      </w:r>
      <w:r w:rsidR="00C2608D" w:rsidRPr="000F058F">
        <w:rPr>
          <w:lang w:val="en-GB"/>
        </w:rPr>
        <w:t>, in the present case</w:t>
      </w:r>
      <w:r w:rsidR="00F06B47" w:rsidRPr="000F058F">
        <w:rPr>
          <w:lang w:val="en-GB"/>
        </w:rPr>
        <w:t xml:space="preserve">, before the intervention of the impugned law, the applicant companies had already obtained </w:t>
      </w:r>
      <w:r w:rsidR="00553AB2">
        <w:rPr>
          <w:lang w:val="en-GB"/>
        </w:rPr>
        <w:t>first</w:t>
      </w:r>
      <w:r w:rsidR="00553AB2">
        <w:rPr>
          <w:lang w:val="en-GB"/>
        </w:rPr>
        <w:noBreakHyphen/>
      </w:r>
      <w:r w:rsidR="00F06B47" w:rsidRPr="000F058F">
        <w:rPr>
          <w:lang w:val="en-GB"/>
        </w:rPr>
        <w:t>instance and appeal judgments in their f</w:t>
      </w:r>
      <w:r w:rsidR="00C2608D" w:rsidRPr="000F058F">
        <w:rPr>
          <w:lang w:val="en-GB"/>
        </w:rPr>
        <w:t>avour, recognising their claims. Moreover, by that time</w:t>
      </w:r>
      <w:r w:rsidRPr="000F058F">
        <w:rPr>
          <w:lang w:val="en-GB"/>
        </w:rPr>
        <w:t>,</w:t>
      </w:r>
      <w:r w:rsidR="00C2608D" w:rsidRPr="000F058F">
        <w:rPr>
          <w:lang w:val="en-GB"/>
        </w:rPr>
        <w:t xml:space="preserve"> </w:t>
      </w:r>
      <w:r w:rsidRPr="000F058F">
        <w:rPr>
          <w:lang w:val="en-GB"/>
        </w:rPr>
        <w:t xml:space="preserve">a </w:t>
      </w:r>
      <w:r w:rsidR="00C2608D" w:rsidRPr="000F058F">
        <w:rPr>
          <w:lang w:val="en-GB"/>
        </w:rPr>
        <w:t xml:space="preserve">constant </w:t>
      </w:r>
      <w:r w:rsidRPr="000F058F">
        <w:rPr>
          <w:lang w:val="en-GB"/>
        </w:rPr>
        <w:t xml:space="preserve">and substantial </w:t>
      </w:r>
      <w:r w:rsidR="00C2608D" w:rsidRPr="000F058F">
        <w:rPr>
          <w:lang w:val="en-GB"/>
        </w:rPr>
        <w:t xml:space="preserve">jurisprudence had been established in </w:t>
      </w:r>
      <w:r w:rsidR="00460D48">
        <w:rPr>
          <w:lang w:val="en-GB"/>
        </w:rPr>
        <w:t>their favour (see paragraph 66 and 79</w:t>
      </w:r>
      <w:r w:rsidRPr="000F058F">
        <w:rPr>
          <w:lang w:val="en-GB"/>
        </w:rPr>
        <w:t xml:space="preserve"> above). In those circumstances, in the Court</w:t>
      </w:r>
      <w:r w:rsidR="00864D90">
        <w:rPr>
          <w:lang w:val="en-GB"/>
        </w:rPr>
        <w:t>’</w:t>
      </w:r>
      <w:r w:rsidRPr="000F058F">
        <w:rPr>
          <w:lang w:val="en-GB"/>
        </w:rPr>
        <w:t>s opinion, before the enactment of the law complained of, the applicants had a claim which they could legitimately expect to be determined in accordance with the applicable legislation as interpreted by the domestic courts and therefore a “possession” within the meaning of the first sentence of Article 1 of Protocol No. 1, which is accordingly applicable in the case.</w:t>
      </w:r>
    </w:p>
    <w:p w:rsidR="00DB4066" w:rsidRPr="000F058F" w:rsidRDefault="00DB4066" w:rsidP="009B0194">
      <w:pPr>
        <w:pStyle w:val="ECHRPara"/>
        <w:rPr>
          <w:lang w:val="en-GB"/>
        </w:rPr>
      </w:pPr>
      <w:r w:rsidRPr="000F058F">
        <w:rPr>
          <w:lang w:val="en-GB"/>
        </w:rPr>
        <w:fldChar w:fldCharType="begin"/>
      </w:r>
      <w:r w:rsidRPr="000F058F">
        <w:rPr>
          <w:lang w:val="en-GB"/>
        </w:rPr>
        <w:instrText xml:space="preserve"> SEQ level0 \*arabic </w:instrText>
      </w:r>
      <w:r w:rsidRPr="000F058F">
        <w:rPr>
          <w:lang w:val="en-GB"/>
        </w:rPr>
        <w:fldChar w:fldCharType="separate"/>
      </w:r>
      <w:r w:rsidR="00D471CA">
        <w:rPr>
          <w:noProof/>
          <w:lang w:val="en-GB"/>
        </w:rPr>
        <w:t>100</w:t>
      </w:r>
      <w:r w:rsidRPr="000F058F">
        <w:rPr>
          <w:lang w:val="en-GB"/>
        </w:rPr>
        <w:fldChar w:fldCharType="end"/>
      </w:r>
      <w:r w:rsidRPr="000F058F">
        <w:rPr>
          <w:lang w:val="en-GB"/>
        </w:rPr>
        <w:t xml:space="preserve">.  The Court notes that this complaint </w:t>
      </w:r>
      <w:r w:rsidRPr="000F058F">
        <w:rPr>
          <w:noProof/>
          <w:lang w:val="en-GB"/>
        </w:rPr>
        <w:t>is</w:t>
      </w:r>
      <w:r w:rsidRPr="000F058F">
        <w:rPr>
          <w:lang w:val="en-GB"/>
        </w:rPr>
        <w:t xml:space="preserve"> not manifestly ill-founded within the meaning of Article 35 § 3 (a) of the Convention. It further notes that it is not inadmissible on any other grounds. It must therefore be declared admissible.</w:t>
      </w:r>
    </w:p>
    <w:p w:rsidR="00F06B47" w:rsidRPr="00DB4066" w:rsidRDefault="00553AB2" w:rsidP="009B0194">
      <w:pPr>
        <w:pStyle w:val="ECHRHeading3"/>
        <w:rPr>
          <w:lang w:val="en-GB" w:eastAsia="en-US"/>
        </w:rPr>
      </w:pPr>
      <w:r>
        <w:rPr>
          <w:lang w:val="en-GB"/>
        </w:rPr>
        <w:t>2.  </w:t>
      </w:r>
      <w:r w:rsidR="00DB4066" w:rsidRPr="00DB4066">
        <w:rPr>
          <w:lang w:val="en-GB"/>
        </w:rPr>
        <w:t>Merits</w:t>
      </w:r>
    </w:p>
    <w:p w:rsidR="00E07150" w:rsidRDefault="00291537" w:rsidP="009B0194">
      <w:pPr>
        <w:pStyle w:val="ECHRPara"/>
        <w:rPr>
          <w:iCs/>
          <w:lang w:val="en-GB"/>
        </w:rPr>
      </w:pPr>
      <w:r>
        <w:rPr>
          <w:lang w:val="en-GB"/>
        </w:rPr>
        <w:fldChar w:fldCharType="begin"/>
      </w:r>
      <w:r>
        <w:rPr>
          <w:lang w:val="en-GB"/>
        </w:rPr>
        <w:instrText xml:space="preserve"> SEQ level0 \*arabic </w:instrText>
      </w:r>
      <w:r>
        <w:rPr>
          <w:lang w:val="en-GB"/>
        </w:rPr>
        <w:fldChar w:fldCharType="separate"/>
      </w:r>
      <w:r w:rsidR="00D471CA">
        <w:rPr>
          <w:noProof/>
          <w:lang w:val="en-GB"/>
        </w:rPr>
        <w:t>101</w:t>
      </w:r>
      <w:r>
        <w:rPr>
          <w:lang w:val="en-GB"/>
        </w:rPr>
        <w:fldChar w:fldCharType="end"/>
      </w:r>
      <w:r>
        <w:rPr>
          <w:lang w:val="en-GB"/>
        </w:rPr>
        <w:t>. </w:t>
      </w:r>
      <w:r w:rsidR="00056145" w:rsidRPr="00056145">
        <w:rPr>
          <w:lang w:val="en-GB"/>
        </w:rPr>
        <w:t>Given that the present case concerns the failure of the applicant companies to benefit from a double reduction on the social welfare contributions they pay in respect of their employees, the Court considers it to fall within the scope of the rule in the second paragraph of Article 1, namely the enforcement of laws to control the use of property in the general interest or “to secure the payment of taxes or contributions</w:t>
      </w:r>
      <w:r w:rsidR="00126D24">
        <w:rPr>
          <w:lang w:val="en-GB"/>
        </w:rPr>
        <w:t>”</w:t>
      </w:r>
      <w:r w:rsidR="00056145" w:rsidRPr="00056145">
        <w:rPr>
          <w:lang w:val="en-GB"/>
        </w:rPr>
        <w:t xml:space="preserve"> </w:t>
      </w:r>
      <w:r w:rsidR="009317A4">
        <w:rPr>
          <w:lang w:val="en-GB"/>
        </w:rPr>
        <w:t>(see, for example,</w:t>
      </w:r>
      <w:r w:rsidR="00E07150" w:rsidRPr="00E07150">
        <w:rPr>
          <w:i/>
          <w:snapToGrid w:val="0"/>
          <w:lang w:val="en-GB"/>
        </w:rPr>
        <w:t xml:space="preserve"> </w:t>
      </w:r>
      <w:r w:rsidR="00E07150" w:rsidRPr="00B668D2">
        <w:rPr>
          <w:i/>
          <w:snapToGrid w:val="0"/>
          <w:lang w:val="en-GB"/>
        </w:rPr>
        <w:t>Wallishauser v. Austria (no. 2)</w:t>
      </w:r>
      <w:r w:rsidR="00E07150" w:rsidRPr="00B668D2">
        <w:rPr>
          <w:snapToGrid w:val="0"/>
          <w:lang w:val="en-GB"/>
        </w:rPr>
        <w:t>, no. 14497/06</w:t>
      </w:r>
      <w:r w:rsidR="00E07150">
        <w:rPr>
          <w:snapToGrid w:val="0"/>
          <w:lang w:val="pt-BR"/>
        </w:rPr>
        <w:t>, § 63, 20 June 2013;</w:t>
      </w:r>
      <w:r w:rsidR="009317A4" w:rsidRPr="009317A4">
        <w:rPr>
          <w:i/>
          <w:iCs/>
          <w:lang w:val="en-GB"/>
        </w:rPr>
        <w:t xml:space="preserve"> </w:t>
      </w:r>
      <w:r w:rsidR="00E07150" w:rsidRPr="00E07150">
        <w:rPr>
          <w:i/>
          <w:lang w:val="en-GB"/>
        </w:rPr>
        <w:t>Frátrik v. Slovakia</w:t>
      </w:r>
      <w:r w:rsidR="00E07150" w:rsidRPr="00E07150">
        <w:rPr>
          <w:lang w:val="en-GB"/>
        </w:rPr>
        <w:t xml:space="preserve"> (dec.), no. 51224/99, 25 May 2004</w:t>
      </w:r>
      <w:r w:rsidR="0086333E">
        <w:rPr>
          <w:lang w:val="en-GB"/>
        </w:rPr>
        <w:t>;</w:t>
      </w:r>
      <w:r w:rsidR="00E07150" w:rsidRPr="00E07150">
        <w:rPr>
          <w:lang w:val="en-GB"/>
        </w:rPr>
        <w:t xml:space="preserve"> </w:t>
      </w:r>
      <w:r w:rsidR="009317A4">
        <w:rPr>
          <w:iCs/>
          <w:lang w:val="en-GB"/>
        </w:rPr>
        <w:t xml:space="preserve">and </w:t>
      </w:r>
      <w:r w:rsidR="009317A4" w:rsidRPr="00B668D2">
        <w:rPr>
          <w:i/>
          <w:lang w:val="en-GB"/>
        </w:rPr>
        <w:t>Stere and Others v. Romania</w:t>
      </w:r>
      <w:r w:rsidR="009317A4">
        <w:rPr>
          <w:lang w:val="en-GB"/>
        </w:rPr>
        <w:t>, no. 25632/02, § 44</w:t>
      </w:r>
      <w:r w:rsidR="009317A4" w:rsidRPr="00B668D2">
        <w:rPr>
          <w:lang w:val="en-GB"/>
        </w:rPr>
        <w:t>, 23 February 2006</w:t>
      </w:r>
      <w:r w:rsidR="009317A4">
        <w:rPr>
          <w:lang w:val="en-GB"/>
        </w:rPr>
        <w:t>)</w:t>
      </w:r>
      <w:r w:rsidR="00E07150">
        <w:rPr>
          <w:iCs/>
          <w:lang w:val="en-GB"/>
        </w:rPr>
        <w:t>.</w:t>
      </w:r>
    </w:p>
    <w:p w:rsidR="0060635D" w:rsidRDefault="00E07150" w:rsidP="009B0194">
      <w:pPr>
        <w:pStyle w:val="ECHRPara"/>
        <w:rPr>
          <w:lang w:val="en-GB"/>
        </w:rPr>
      </w:pPr>
      <w:r>
        <w:fldChar w:fldCharType="begin"/>
      </w:r>
      <w:r w:rsidRPr="00E07150">
        <w:rPr>
          <w:lang w:val="en-GB"/>
        </w:rPr>
        <w:instrText xml:space="preserve"> SEQ level0 \*arabic </w:instrText>
      </w:r>
      <w:r>
        <w:fldChar w:fldCharType="separate"/>
      </w:r>
      <w:r w:rsidR="00D471CA">
        <w:rPr>
          <w:noProof/>
          <w:lang w:val="en-GB"/>
        </w:rPr>
        <w:t>102</w:t>
      </w:r>
      <w:r>
        <w:fldChar w:fldCharType="end"/>
      </w:r>
      <w:r w:rsidRPr="00E07150">
        <w:rPr>
          <w:lang w:val="en-GB"/>
        </w:rPr>
        <w:t>.  According to the Court</w:t>
      </w:r>
      <w:r w:rsidR="00864D90">
        <w:rPr>
          <w:lang w:val="en-GB"/>
        </w:rPr>
        <w:t>’</w:t>
      </w:r>
      <w:r w:rsidRPr="00E07150">
        <w:rPr>
          <w:lang w:val="en-GB"/>
        </w:rPr>
        <w:t>s well-established case-law, an interference</w:t>
      </w:r>
      <w:r w:rsidR="0005625A">
        <w:rPr>
          <w:lang w:val="en-GB"/>
        </w:rPr>
        <w:t>,</w:t>
      </w:r>
      <w:r w:rsidRPr="00E07150">
        <w:rPr>
          <w:lang w:val="en-GB"/>
        </w:rPr>
        <w:t xml:space="preserve"> including one resulting from a measure </w:t>
      </w:r>
      <w:r w:rsidR="0005625A">
        <w:rPr>
          <w:lang w:val="en-GB"/>
        </w:rPr>
        <w:t xml:space="preserve">taken </w:t>
      </w:r>
      <w:r w:rsidRPr="00E07150">
        <w:rPr>
          <w:lang w:val="en-GB"/>
        </w:rPr>
        <w:t>to secure the payment of taxes or other contributions, must strike a “fair balance” between the demands of the general interest of the community and the requirements of the protection of the individual</w:t>
      </w:r>
      <w:r w:rsidR="00864D90">
        <w:rPr>
          <w:lang w:val="en-GB"/>
        </w:rPr>
        <w:t>’</w:t>
      </w:r>
      <w:r w:rsidRPr="00E07150">
        <w:rPr>
          <w:lang w:val="en-GB"/>
        </w:rPr>
        <w:t xml:space="preserve">s fundamental rights. The desire to achieve this balance is reflected in the structure of Article 1 as a whole, including the second paragraph: there must therefore be a reasonable relationship of proportionality between the means employed and the aims pursued (see </w:t>
      </w:r>
      <w:r w:rsidRPr="00E07150">
        <w:rPr>
          <w:i/>
          <w:lang w:val="en-GB" w:eastAsia="en-US"/>
        </w:rPr>
        <w:t>James and Others v. the United Kingdom</w:t>
      </w:r>
      <w:r w:rsidRPr="00E07150">
        <w:rPr>
          <w:lang w:val="en-GB" w:eastAsia="en-US"/>
        </w:rPr>
        <w:t xml:space="preserve">, 21 February 1986, § 50, Series A no. 98, and </w:t>
      </w:r>
      <w:r w:rsidRPr="00E07150">
        <w:rPr>
          <w:i/>
          <w:lang w:val="en-GB"/>
        </w:rPr>
        <w:t>National &amp; Provincial Building Society, Leeds Permanent Building Society and Yorkshire Building Society</w:t>
      </w:r>
      <w:r w:rsidRPr="00E07150">
        <w:rPr>
          <w:lang w:val="en-GB"/>
        </w:rPr>
        <w:t xml:space="preserve">, </w:t>
      </w:r>
      <w:r>
        <w:rPr>
          <w:lang w:val="en-GB"/>
        </w:rPr>
        <w:t>cited above</w:t>
      </w:r>
      <w:r w:rsidR="004211D3">
        <w:rPr>
          <w:lang w:val="en-GB"/>
        </w:rPr>
        <w:t>, § 80</w:t>
      </w:r>
      <w:r w:rsidRPr="00E07150">
        <w:rPr>
          <w:lang w:val="en-GB"/>
        </w:rPr>
        <w:t>).</w:t>
      </w:r>
      <w:r w:rsidR="004211D3" w:rsidRPr="004211D3">
        <w:rPr>
          <w:rFonts w:eastAsia="Times New Roman"/>
          <w:lang w:val="en-GB"/>
        </w:rPr>
        <w:t xml:space="preserve"> </w:t>
      </w:r>
      <w:r w:rsidR="00271E9B">
        <w:rPr>
          <w:rFonts w:eastAsia="Times New Roman"/>
          <w:lang w:val="en-GB"/>
        </w:rPr>
        <w:t>Consequently, “</w:t>
      </w:r>
      <w:r w:rsidR="004211D3" w:rsidRPr="007A6F7F">
        <w:rPr>
          <w:rFonts w:eastAsia="Times New Roman"/>
          <w:lang w:val="en-GB"/>
        </w:rPr>
        <w:t>the financial liability arising out of the raising of tax or contributions may adversely affect the guarantee secured under this provision if it places an excessive burden on the person or the entity concerned or fundamentally interferes wit</w:t>
      </w:r>
      <w:r w:rsidR="00271E9B">
        <w:rPr>
          <w:rFonts w:eastAsia="Times New Roman"/>
          <w:lang w:val="en-GB"/>
        </w:rPr>
        <w:t>h his or its financial position”</w:t>
      </w:r>
      <w:r w:rsidR="004211D3" w:rsidRPr="007A6F7F">
        <w:rPr>
          <w:rFonts w:eastAsia="Times New Roman"/>
          <w:lang w:val="en-GB"/>
        </w:rPr>
        <w:t xml:space="preserve"> (see</w:t>
      </w:r>
      <w:r w:rsidR="004211D3">
        <w:rPr>
          <w:rFonts w:eastAsia="Times New Roman"/>
          <w:lang w:val="en-GB"/>
        </w:rPr>
        <w:t xml:space="preserve"> </w:t>
      </w:r>
      <w:r w:rsidR="004211D3" w:rsidRPr="0060635D">
        <w:rPr>
          <w:i/>
          <w:lang w:val="en-GB" w:eastAsia="en-US"/>
        </w:rPr>
        <w:t>Ferretti v. Italy</w:t>
      </w:r>
      <w:r w:rsidR="004211D3" w:rsidRPr="004211D3">
        <w:rPr>
          <w:lang w:val="en-GB" w:eastAsia="en-US"/>
        </w:rPr>
        <w:t>, no. 25083/94</w:t>
      </w:r>
      <w:r w:rsidR="00777D97">
        <w:rPr>
          <w:lang w:val="en-GB" w:eastAsia="en-US"/>
        </w:rPr>
        <w:t>,</w:t>
      </w:r>
      <w:r w:rsidR="004211D3" w:rsidRPr="004211D3">
        <w:rPr>
          <w:lang w:val="en-GB" w:eastAsia="en-US"/>
        </w:rPr>
        <w:t xml:space="preserve"> </w:t>
      </w:r>
      <w:r w:rsidR="004211D3">
        <w:rPr>
          <w:rFonts w:eastAsia="Times New Roman"/>
          <w:lang w:val="en-GB"/>
        </w:rPr>
        <w:t xml:space="preserve">Commission </w:t>
      </w:r>
      <w:r w:rsidR="00B27720">
        <w:rPr>
          <w:rFonts w:eastAsia="Times New Roman"/>
          <w:lang w:val="en-GB"/>
        </w:rPr>
        <w:t>d</w:t>
      </w:r>
      <w:r w:rsidR="00777D97">
        <w:rPr>
          <w:rFonts w:eastAsia="Times New Roman"/>
          <w:lang w:val="en-GB"/>
        </w:rPr>
        <w:t>ecision of</w:t>
      </w:r>
      <w:r w:rsidR="004211D3" w:rsidRPr="007A6F7F">
        <w:rPr>
          <w:rFonts w:eastAsia="Times New Roman"/>
          <w:lang w:val="en-GB"/>
        </w:rPr>
        <w:t xml:space="preserve"> </w:t>
      </w:r>
      <w:r w:rsidR="004211D3" w:rsidRPr="004211D3">
        <w:rPr>
          <w:lang w:val="en-GB" w:eastAsia="en-US"/>
        </w:rPr>
        <w:t xml:space="preserve">26 </w:t>
      </w:r>
      <w:r w:rsidR="0060635D">
        <w:rPr>
          <w:lang w:val="en-GB" w:eastAsia="en-US"/>
        </w:rPr>
        <w:t>February</w:t>
      </w:r>
      <w:r w:rsidR="004211D3" w:rsidRPr="004211D3">
        <w:rPr>
          <w:lang w:val="en-GB" w:eastAsia="en-US"/>
        </w:rPr>
        <w:t xml:space="preserve"> 1997, </w:t>
      </w:r>
      <w:r w:rsidR="0060635D">
        <w:rPr>
          <w:lang w:val="en-GB" w:eastAsia="en-US"/>
        </w:rPr>
        <w:t>unpublished</w:t>
      </w:r>
      <w:r w:rsidR="00777D97">
        <w:rPr>
          <w:lang w:val="en-GB" w:eastAsia="en-US"/>
        </w:rPr>
        <w:t>,</w:t>
      </w:r>
      <w:r w:rsidR="0060635D">
        <w:rPr>
          <w:lang w:val="en-GB" w:eastAsia="en-US"/>
        </w:rPr>
        <w:t xml:space="preserve"> </w:t>
      </w:r>
      <w:r w:rsidR="004211D3" w:rsidRPr="004211D3">
        <w:rPr>
          <w:rFonts w:eastAsia="Times New Roman"/>
          <w:lang w:val="en-GB"/>
        </w:rPr>
        <w:t xml:space="preserve">and </w:t>
      </w:r>
      <w:r w:rsidR="004211D3" w:rsidRPr="004211D3">
        <w:rPr>
          <w:i/>
          <w:lang w:val="en-GB"/>
        </w:rPr>
        <w:t xml:space="preserve">Buffalo S.r.l. </w:t>
      </w:r>
      <w:r w:rsidR="007B7F42">
        <w:rPr>
          <w:i/>
          <w:lang w:val="en-GB"/>
        </w:rPr>
        <w:t>in</w:t>
      </w:r>
      <w:r w:rsidR="004211D3" w:rsidRPr="004211D3">
        <w:rPr>
          <w:i/>
          <w:lang w:val="en-GB"/>
        </w:rPr>
        <w:t xml:space="preserve"> liqui</w:t>
      </w:r>
      <w:r w:rsidR="007B7F42">
        <w:rPr>
          <w:i/>
          <w:lang w:val="en-GB"/>
        </w:rPr>
        <w:t>dation</w:t>
      </w:r>
      <w:r w:rsidR="004211D3" w:rsidRPr="004211D3">
        <w:rPr>
          <w:i/>
          <w:lang w:val="en-GB"/>
        </w:rPr>
        <w:t xml:space="preserve"> v. Italy</w:t>
      </w:r>
      <w:r w:rsidR="004211D3" w:rsidRPr="004211D3">
        <w:rPr>
          <w:lang w:val="en-GB"/>
        </w:rPr>
        <w:t>,</w:t>
      </w:r>
      <w:r w:rsidR="004211D3" w:rsidRPr="004211D3">
        <w:rPr>
          <w:i/>
          <w:lang w:val="en-GB"/>
        </w:rPr>
        <w:t xml:space="preserve"> </w:t>
      </w:r>
      <w:r w:rsidR="004211D3" w:rsidRPr="004211D3">
        <w:rPr>
          <w:lang w:val="en-GB"/>
        </w:rPr>
        <w:t xml:space="preserve">no. 38746/97, § 32, </w:t>
      </w:r>
      <w:r w:rsidR="00A00AF2">
        <w:rPr>
          <w:lang w:val="en-GB"/>
        </w:rPr>
        <w:t>3 </w:t>
      </w:r>
      <w:r w:rsidR="004211D3" w:rsidRPr="004211D3">
        <w:rPr>
          <w:lang w:val="en-GB"/>
        </w:rPr>
        <w:t>July 2003</w:t>
      </w:r>
      <w:r w:rsidR="0060635D">
        <w:rPr>
          <w:lang w:val="en-GB"/>
        </w:rPr>
        <w:t>).</w:t>
      </w:r>
    </w:p>
    <w:p w:rsidR="00E07150" w:rsidRPr="00002933" w:rsidRDefault="0060635D" w:rsidP="009B0194">
      <w:pPr>
        <w:pStyle w:val="ECHRPara"/>
        <w:rPr>
          <w:rFonts w:ascii="Calibri" w:eastAsiaTheme="minorHAnsi" w:hAnsi="Calibri" w:cs="Calibri"/>
          <w:sz w:val="22"/>
          <w:lang w:val="en-GB"/>
        </w:rPr>
      </w:pPr>
      <w:r>
        <w:rPr>
          <w:lang w:val="en-GB"/>
        </w:rPr>
        <w:fldChar w:fldCharType="begin"/>
      </w:r>
      <w:r>
        <w:rPr>
          <w:lang w:val="en-GB"/>
        </w:rPr>
        <w:instrText xml:space="preserve"> SEQ level0 \*arabic </w:instrText>
      </w:r>
      <w:r>
        <w:rPr>
          <w:lang w:val="en-GB"/>
        </w:rPr>
        <w:fldChar w:fldCharType="separate"/>
      </w:r>
      <w:r w:rsidR="00D471CA">
        <w:rPr>
          <w:noProof/>
          <w:lang w:val="en-GB"/>
        </w:rPr>
        <w:t>103</w:t>
      </w:r>
      <w:r>
        <w:rPr>
          <w:lang w:val="en-GB"/>
        </w:rPr>
        <w:fldChar w:fldCharType="end"/>
      </w:r>
      <w:r>
        <w:rPr>
          <w:lang w:val="en-GB"/>
        </w:rPr>
        <w:t>.  The Court further notes that</w:t>
      </w:r>
      <w:r w:rsidRPr="00D64ECF">
        <w:rPr>
          <w:lang w:val="en-GB"/>
        </w:rPr>
        <w:t xml:space="preserve"> a wide margin of appreciation is usually allowed to the State under the Convention when it comes to general measures of economic or social strategy</w:t>
      </w:r>
      <w:r>
        <w:rPr>
          <w:lang w:val="en-GB"/>
        </w:rPr>
        <w:t xml:space="preserve"> (</w:t>
      </w:r>
      <w:r w:rsidRPr="00B668D2">
        <w:rPr>
          <w:i/>
          <w:snapToGrid w:val="0"/>
          <w:lang w:val="en-GB"/>
        </w:rPr>
        <w:t>Wallishauser v. Austria (no. 2)</w:t>
      </w:r>
      <w:r w:rsidRPr="00B668D2">
        <w:rPr>
          <w:snapToGrid w:val="0"/>
          <w:lang w:val="en-GB"/>
        </w:rPr>
        <w:t>, no. 14497/06</w:t>
      </w:r>
      <w:r>
        <w:rPr>
          <w:snapToGrid w:val="0"/>
          <w:lang w:val="pt-BR"/>
        </w:rPr>
        <w:t>, § 65, 20 June 2013)</w:t>
      </w:r>
      <w:r w:rsidR="00B27720">
        <w:rPr>
          <w:snapToGrid w:val="0"/>
          <w:lang w:val="pt-BR"/>
        </w:rPr>
        <w:t>,</w:t>
      </w:r>
      <w:r w:rsidR="00965DB8">
        <w:rPr>
          <w:lang w:val="pt-BR"/>
        </w:rPr>
        <w:t xml:space="preserve"> as well as </w:t>
      </w:r>
      <w:r w:rsidRPr="00436D2D">
        <w:rPr>
          <w:lang w:val="en-GB"/>
        </w:rPr>
        <w:t xml:space="preserve">when framing and implementing </w:t>
      </w:r>
      <w:r w:rsidR="00965DB8">
        <w:rPr>
          <w:lang w:val="en-GB"/>
        </w:rPr>
        <w:t xml:space="preserve">policy in the area of taxation </w:t>
      </w:r>
      <w:r w:rsidRPr="00436D2D">
        <w:rPr>
          <w:lang w:val="en-GB"/>
        </w:rPr>
        <w:t xml:space="preserve">(see, among many other authorities, </w:t>
      </w:r>
      <w:r w:rsidR="000215BF" w:rsidRPr="000215BF">
        <w:rPr>
          <w:i/>
          <w:iCs/>
          <w:lang w:val="en-GB"/>
        </w:rPr>
        <w:t>Gasus Dosier- und Fördertechnik GmbH v. the Netherlands</w:t>
      </w:r>
      <w:r w:rsidR="000215BF">
        <w:rPr>
          <w:lang w:val="en-GB"/>
        </w:rPr>
        <w:t xml:space="preserve">, </w:t>
      </w:r>
      <w:r w:rsidR="00A00AF2">
        <w:rPr>
          <w:lang w:val="en-GB"/>
        </w:rPr>
        <w:t>23 </w:t>
      </w:r>
      <w:r w:rsidR="000215BF">
        <w:rPr>
          <w:lang w:val="en-GB"/>
        </w:rPr>
        <w:t>February 1995, § 60</w:t>
      </w:r>
      <w:r w:rsidR="000215BF" w:rsidRPr="000215BF">
        <w:rPr>
          <w:lang w:val="en-GB"/>
        </w:rPr>
        <w:t>, Series A no. 306</w:t>
      </w:r>
      <w:r w:rsidR="000215BF" w:rsidRPr="000215BF">
        <w:rPr>
          <w:lang w:val="en-GB"/>
        </w:rPr>
        <w:noBreakHyphen/>
        <w:t>B</w:t>
      </w:r>
      <w:r w:rsidR="00777D97">
        <w:rPr>
          <w:lang w:val="en-GB"/>
        </w:rPr>
        <w:t>,</w:t>
      </w:r>
      <w:r>
        <w:rPr>
          <w:lang w:val="en-GB"/>
        </w:rPr>
        <w:t xml:space="preserve"> and </w:t>
      </w:r>
      <w:r w:rsidRPr="00436D2D">
        <w:rPr>
          <w:i/>
          <w:lang w:val="en-GB"/>
        </w:rPr>
        <w:t>Stere</w:t>
      </w:r>
      <w:r>
        <w:rPr>
          <w:lang w:val="en-GB"/>
        </w:rPr>
        <w:t xml:space="preserve">, cited above, </w:t>
      </w:r>
      <w:r>
        <w:rPr>
          <w:rFonts w:cstheme="minorHAnsi"/>
          <w:lang w:val="en-GB"/>
        </w:rPr>
        <w:t>§</w:t>
      </w:r>
      <w:r>
        <w:rPr>
          <w:lang w:val="en-GB"/>
        </w:rPr>
        <w:t xml:space="preserve"> 51).</w:t>
      </w:r>
      <w:r w:rsidRPr="00FE08EF">
        <w:rPr>
          <w:lang w:val="en-GB"/>
        </w:rPr>
        <w:t xml:space="preserve"> </w:t>
      </w:r>
      <w:r>
        <w:rPr>
          <w:lang w:val="en-GB"/>
        </w:rPr>
        <w:t>B</w:t>
      </w:r>
      <w:r w:rsidRPr="00172A33">
        <w:rPr>
          <w:lang w:val="en-GB"/>
        </w:rPr>
        <w:t>ecause of their direct knowledge of their society and its needs, the national authorities are in principle better placed than the international judge to decide what is “in the public interest”</w:t>
      </w:r>
      <w:r>
        <w:rPr>
          <w:lang w:val="en-GB"/>
        </w:rPr>
        <w:t xml:space="preserve"> (see, for example, </w:t>
      </w:r>
      <w:r w:rsidRPr="00F8551E">
        <w:rPr>
          <w:i/>
          <w:lang w:val="en-GB"/>
        </w:rPr>
        <w:t>Maggio</w:t>
      </w:r>
      <w:r w:rsidR="00FC62D6">
        <w:rPr>
          <w:i/>
          <w:lang w:val="en-GB"/>
        </w:rPr>
        <w:t xml:space="preserve"> and Others</w:t>
      </w:r>
      <w:r>
        <w:rPr>
          <w:lang w:val="en-GB"/>
        </w:rPr>
        <w:t>, cited above,</w:t>
      </w:r>
      <w:r w:rsidRPr="00172A33">
        <w:rPr>
          <w:lang w:val="en-GB"/>
        </w:rPr>
        <w:t xml:space="preserve"> </w:t>
      </w:r>
      <w:r w:rsidRPr="00912B49">
        <w:rPr>
          <w:lang w:val="en-GB"/>
        </w:rPr>
        <w:t>§</w:t>
      </w:r>
      <w:r>
        <w:rPr>
          <w:lang w:val="en-GB"/>
        </w:rPr>
        <w:t xml:space="preserve"> 57, and </w:t>
      </w:r>
      <w:r w:rsidRPr="00F8551E">
        <w:rPr>
          <w:i/>
          <w:lang w:val="en-GB"/>
        </w:rPr>
        <w:t>Travers v</w:t>
      </w:r>
      <w:r w:rsidR="00FC62D6">
        <w:rPr>
          <w:i/>
          <w:lang w:val="en-GB"/>
        </w:rPr>
        <w:t>.</w:t>
      </w:r>
      <w:r w:rsidRPr="00F8551E">
        <w:rPr>
          <w:i/>
          <w:lang w:val="en-GB"/>
        </w:rPr>
        <w:t xml:space="preserve"> Italy</w:t>
      </w:r>
      <w:r>
        <w:rPr>
          <w:lang w:val="en-GB"/>
        </w:rPr>
        <w:t xml:space="preserve">, no. 15117/89, Commission </w:t>
      </w:r>
      <w:r w:rsidR="00B27720">
        <w:rPr>
          <w:lang w:val="en-GB"/>
        </w:rPr>
        <w:t>d</w:t>
      </w:r>
      <w:r>
        <w:rPr>
          <w:lang w:val="en-GB"/>
        </w:rPr>
        <w:t>ecision of 16 January 1995)</w:t>
      </w:r>
      <w:r w:rsidR="00002933" w:rsidRPr="00002933">
        <w:rPr>
          <w:lang w:val="en-GB"/>
        </w:rPr>
        <w:t xml:space="preserve"> and the Court will generally respect the legislature</w:t>
      </w:r>
      <w:r w:rsidR="00864D90">
        <w:rPr>
          <w:lang w:val="en-GB"/>
        </w:rPr>
        <w:t>’</w:t>
      </w:r>
      <w:r w:rsidR="00002933" w:rsidRPr="00002933">
        <w:rPr>
          <w:lang w:val="en-GB"/>
        </w:rPr>
        <w:t>s policy choice unless it is “manifestly without reasonable foundation”</w:t>
      </w:r>
      <w:r w:rsidR="00002933" w:rsidRPr="00002933">
        <w:rPr>
          <w:i/>
          <w:snapToGrid w:val="0"/>
          <w:lang w:val="en-GB"/>
        </w:rPr>
        <w:t xml:space="preserve"> </w:t>
      </w:r>
      <w:r w:rsidR="00002933">
        <w:rPr>
          <w:snapToGrid w:val="0"/>
          <w:lang w:val="en-GB"/>
        </w:rPr>
        <w:t xml:space="preserve">(see </w:t>
      </w:r>
      <w:r w:rsidR="00002933" w:rsidRPr="00B668D2">
        <w:rPr>
          <w:i/>
          <w:snapToGrid w:val="0"/>
          <w:lang w:val="en-GB"/>
        </w:rPr>
        <w:t>Wallishauser</w:t>
      </w:r>
      <w:r w:rsidR="00002933">
        <w:rPr>
          <w:lang w:val="en-GB"/>
        </w:rPr>
        <w:t>, cited above</w:t>
      </w:r>
      <w:r w:rsidR="00777D97">
        <w:rPr>
          <w:lang w:val="en-GB"/>
        </w:rPr>
        <w:t>,</w:t>
      </w:r>
      <w:r w:rsidR="00002933">
        <w:rPr>
          <w:lang w:val="en-GB"/>
        </w:rPr>
        <w:t xml:space="preserve"> </w:t>
      </w:r>
      <w:r w:rsidR="00002933" w:rsidRPr="00912B49">
        <w:rPr>
          <w:lang w:val="en-GB"/>
        </w:rPr>
        <w:t>§</w:t>
      </w:r>
      <w:r w:rsidR="00002933">
        <w:rPr>
          <w:lang w:val="en-GB"/>
        </w:rPr>
        <w:t xml:space="preserve"> 65)</w:t>
      </w:r>
      <w:r w:rsidR="00080330">
        <w:rPr>
          <w:lang w:val="en-GB"/>
        </w:rPr>
        <w:t>.</w:t>
      </w:r>
      <w:r w:rsidRPr="0060635D">
        <w:rPr>
          <w:rFonts w:ascii="Calibri" w:eastAsiaTheme="minorHAnsi" w:hAnsi="Calibri" w:cs="Calibri"/>
          <w:sz w:val="22"/>
          <w:lang w:val="en-GB"/>
        </w:rPr>
        <w:t xml:space="preserve"> </w:t>
      </w:r>
      <w:r>
        <w:rPr>
          <w:rFonts w:eastAsia="Times New Roman"/>
          <w:lang w:val="en-GB"/>
        </w:rPr>
        <w:t>Thus, it</w:t>
      </w:r>
      <w:r w:rsidR="004211D3" w:rsidRPr="007A6F7F">
        <w:rPr>
          <w:rFonts w:eastAsia="Times New Roman"/>
          <w:lang w:val="en-GB"/>
        </w:rPr>
        <w:t xml:space="preserve"> is </w:t>
      </w:r>
      <w:r w:rsidR="00002933">
        <w:rPr>
          <w:rFonts w:eastAsia="Times New Roman"/>
          <w:lang w:val="en-GB"/>
        </w:rPr>
        <w:t>firstly</w:t>
      </w:r>
      <w:r w:rsidR="004211D3" w:rsidRPr="007A6F7F">
        <w:rPr>
          <w:rFonts w:eastAsia="Times New Roman"/>
          <w:lang w:val="en-GB"/>
        </w:rPr>
        <w:t xml:space="preserve"> for the national authorities to decide on the type of tax or contributions they wish to levy. Decisions in this area normally involve, in addition, an assessment of political, economic and social problems which the Convention leaves to the competence of the member </w:t>
      </w:r>
      <w:r w:rsidR="00B27720">
        <w:rPr>
          <w:rFonts w:eastAsia="Times New Roman"/>
          <w:lang w:val="en-GB"/>
        </w:rPr>
        <w:t>S</w:t>
      </w:r>
      <w:r w:rsidR="004211D3" w:rsidRPr="007A6F7F">
        <w:rPr>
          <w:rFonts w:eastAsia="Times New Roman"/>
          <w:lang w:val="en-GB"/>
        </w:rPr>
        <w:t xml:space="preserve">tates, </w:t>
      </w:r>
      <w:r w:rsidR="00B27720">
        <w:rPr>
          <w:rFonts w:eastAsia="Times New Roman"/>
          <w:lang w:val="en-GB"/>
        </w:rPr>
        <w:t>as</w:t>
      </w:r>
      <w:r w:rsidR="004211D3" w:rsidRPr="007A6F7F">
        <w:rPr>
          <w:rFonts w:eastAsia="Times New Roman"/>
          <w:lang w:val="en-GB"/>
        </w:rPr>
        <w:t xml:space="preserve"> the domestic authorities are clearly better placed than the Co</w:t>
      </w:r>
      <w:r>
        <w:rPr>
          <w:rFonts w:eastAsia="Times New Roman"/>
          <w:lang w:val="en-GB"/>
        </w:rPr>
        <w:t>nvention organs</w:t>
      </w:r>
      <w:r w:rsidR="004211D3" w:rsidRPr="007A6F7F">
        <w:rPr>
          <w:rFonts w:eastAsia="Times New Roman"/>
          <w:lang w:val="en-GB"/>
        </w:rPr>
        <w:t xml:space="preserve"> to assess such problems </w:t>
      </w:r>
      <w:r>
        <w:rPr>
          <w:rFonts w:eastAsia="Times New Roman"/>
          <w:lang w:val="en-GB"/>
        </w:rPr>
        <w:t>(</w:t>
      </w:r>
      <w:r w:rsidR="004211D3">
        <w:rPr>
          <w:rFonts w:eastAsia="Times New Roman"/>
          <w:lang w:val="en-GB"/>
        </w:rPr>
        <w:t xml:space="preserve">see </w:t>
      </w:r>
      <w:r w:rsidR="004211D3" w:rsidRPr="0060635D">
        <w:rPr>
          <w:rFonts w:eastAsia="Times New Roman"/>
          <w:i/>
          <w:lang w:val="en-GB"/>
        </w:rPr>
        <w:t>Musa v</w:t>
      </w:r>
      <w:r w:rsidR="00271E9B">
        <w:rPr>
          <w:rFonts w:eastAsia="Times New Roman"/>
          <w:i/>
          <w:lang w:val="en-GB"/>
        </w:rPr>
        <w:t>.</w:t>
      </w:r>
      <w:r w:rsidR="004211D3" w:rsidRPr="0060635D">
        <w:rPr>
          <w:rFonts w:eastAsia="Times New Roman"/>
          <w:i/>
          <w:lang w:val="en-GB"/>
        </w:rPr>
        <w:t xml:space="preserve"> Austria</w:t>
      </w:r>
      <w:r w:rsidR="00B27720">
        <w:rPr>
          <w:rFonts w:eastAsia="Times New Roman"/>
          <w:lang w:val="en-GB"/>
        </w:rPr>
        <w:t>,</w:t>
      </w:r>
      <w:r w:rsidR="004211D3">
        <w:rPr>
          <w:rFonts w:eastAsia="Times New Roman"/>
          <w:lang w:val="en-GB"/>
        </w:rPr>
        <w:t xml:space="preserve"> </w:t>
      </w:r>
      <w:r w:rsidR="00777D97">
        <w:rPr>
          <w:rFonts w:eastAsia="Times New Roman"/>
          <w:lang w:val="en-GB"/>
        </w:rPr>
        <w:t>n</w:t>
      </w:r>
      <w:r w:rsidR="00777D97" w:rsidRPr="004211D3">
        <w:rPr>
          <w:rFonts w:eastAsia="Times New Roman"/>
          <w:lang w:val="en-GB"/>
        </w:rPr>
        <w:t>o</w:t>
      </w:r>
      <w:r w:rsidR="004211D3" w:rsidRPr="004211D3">
        <w:rPr>
          <w:rFonts w:eastAsia="Times New Roman"/>
          <w:lang w:val="en-GB"/>
        </w:rPr>
        <w:t>.</w:t>
      </w:r>
      <w:r w:rsidR="004211D3" w:rsidRPr="004211D3">
        <w:rPr>
          <w:lang w:val="en-GB"/>
        </w:rPr>
        <w:t xml:space="preserve"> 40477/98</w:t>
      </w:r>
      <w:r w:rsidR="004211D3" w:rsidRPr="004211D3">
        <w:rPr>
          <w:rFonts w:eastAsia="Times New Roman"/>
          <w:lang w:val="en-GB"/>
        </w:rPr>
        <w:t xml:space="preserve">, </w:t>
      </w:r>
      <w:r w:rsidR="00B27720">
        <w:rPr>
          <w:rFonts w:eastAsia="Times New Roman"/>
          <w:lang w:val="en-GB"/>
        </w:rPr>
        <w:t>Commission decision of</w:t>
      </w:r>
      <w:r w:rsidR="00B27720" w:rsidRPr="004211D3">
        <w:rPr>
          <w:rFonts w:eastAsia="Times New Roman"/>
          <w:lang w:val="en-GB"/>
        </w:rPr>
        <w:t xml:space="preserve"> </w:t>
      </w:r>
      <w:r w:rsidR="004211D3" w:rsidRPr="004211D3">
        <w:rPr>
          <w:rFonts w:eastAsia="Times New Roman"/>
          <w:lang w:val="en-GB"/>
        </w:rPr>
        <w:t>10 September 1998</w:t>
      </w:r>
      <w:r w:rsidR="00777D97">
        <w:rPr>
          <w:rFonts w:eastAsia="Times New Roman"/>
          <w:lang w:val="en-GB"/>
        </w:rPr>
        <w:t>,</w:t>
      </w:r>
      <w:r w:rsidR="00293810">
        <w:rPr>
          <w:rFonts w:eastAsia="Times New Roman"/>
          <w:lang w:val="en-GB"/>
        </w:rPr>
        <w:t xml:space="preserve"> and </w:t>
      </w:r>
      <w:r w:rsidR="00293810">
        <w:rPr>
          <w:i/>
          <w:lang w:val="en-GB" w:eastAsia="en-US"/>
        </w:rPr>
        <w:t>Baláž v</w:t>
      </w:r>
      <w:r w:rsidR="00293810" w:rsidRPr="00293810">
        <w:rPr>
          <w:i/>
          <w:lang w:val="en-GB" w:eastAsia="en-US"/>
        </w:rPr>
        <w:t>. Slova</w:t>
      </w:r>
      <w:r w:rsidR="00293810">
        <w:rPr>
          <w:i/>
          <w:lang w:val="en-GB" w:eastAsia="en-US"/>
        </w:rPr>
        <w:t>kia</w:t>
      </w:r>
      <w:r w:rsidR="00293810" w:rsidRPr="00293810">
        <w:rPr>
          <w:lang w:val="en-GB" w:eastAsia="en-US"/>
        </w:rPr>
        <w:t xml:space="preserve"> </w:t>
      </w:r>
      <w:r w:rsidR="00293810">
        <w:rPr>
          <w:lang w:val="en-GB" w:eastAsia="en-US"/>
        </w:rPr>
        <w:t>(de</w:t>
      </w:r>
      <w:r w:rsidR="00293810" w:rsidRPr="00293810">
        <w:rPr>
          <w:lang w:val="en-GB" w:eastAsia="en-US"/>
        </w:rPr>
        <w:t>c.), no</w:t>
      </w:r>
      <w:r w:rsidR="00293810">
        <w:rPr>
          <w:lang w:val="en-GB" w:eastAsia="en-US"/>
        </w:rPr>
        <w:t>. 60243/00, 16 Septemb</w:t>
      </w:r>
      <w:r w:rsidR="00293810" w:rsidRPr="00293810">
        <w:rPr>
          <w:lang w:val="en-GB" w:eastAsia="en-US"/>
        </w:rPr>
        <w:t>e</w:t>
      </w:r>
      <w:r w:rsidR="00293810">
        <w:rPr>
          <w:lang w:val="en-GB" w:eastAsia="en-US"/>
        </w:rPr>
        <w:t>r</w:t>
      </w:r>
      <w:r w:rsidR="00293810" w:rsidRPr="00293810">
        <w:rPr>
          <w:lang w:val="en-GB" w:eastAsia="en-US"/>
        </w:rPr>
        <w:t xml:space="preserve"> 2003</w:t>
      </w:r>
      <w:r w:rsidR="004211D3">
        <w:rPr>
          <w:rFonts w:eastAsia="Times New Roman"/>
          <w:lang w:val="en-GB"/>
        </w:rPr>
        <w:t>)</w:t>
      </w:r>
      <w:r>
        <w:rPr>
          <w:rFonts w:eastAsia="Times New Roman"/>
          <w:lang w:val="en-GB"/>
        </w:rPr>
        <w:t>.</w:t>
      </w:r>
    </w:p>
    <w:p w:rsidR="00632A2E" w:rsidRDefault="00E07150" w:rsidP="009B0194">
      <w:pPr>
        <w:pStyle w:val="ECHRPara"/>
        <w:rPr>
          <w:snapToGrid w:val="0"/>
          <w:szCs w:val="24"/>
          <w:lang w:val="en-GB"/>
        </w:rPr>
      </w:pPr>
      <w:r w:rsidRPr="009A7AEB">
        <w:rPr>
          <w:lang w:val="en-GB" w:eastAsia="en-US"/>
        </w:rPr>
        <w:fldChar w:fldCharType="begin"/>
      </w:r>
      <w:r w:rsidRPr="009A7AEB">
        <w:rPr>
          <w:lang w:val="en-GB" w:eastAsia="en-US"/>
        </w:rPr>
        <w:instrText xml:space="preserve"> SEQ level0 \*arabic </w:instrText>
      </w:r>
      <w:r w:rsidRPr="009A7AEB">
        <w:rPr>
          <w:lang w:val="en-GB" w:eastAsia="en-US"/>
        </w:rPr>
        <w:fldChar w:fldCharType="separate"/>
      </w:r>
      <w:r w:rsidR="00D471CA">
        <w:rPr>
          <w:noProof/>
          <w:lang w:val="en-GB" w:eastAsia="en-US"/>
        </w:rPr>
        <w:t>104</w:t>
      </w:r>
      <w:r w:rsidRPr="009A7AEB">
        <w:rPr>
          <w:lang w:val="en-GB" w:eastAsia="en-US"/>
        </w:rPr>
        <w:fldChar w:fldCharType="end"/>
      </w:r>
      <w:r w:rsidRPr="009A7AEB">
        <w:rPr>
          <w:lang w:val="en-GB" w:eastAsia="en-US"/>
        </w:rPr>
        <w:t xml:space="preserve">. The Court has </w:t>
      </w:r>
      <w:r w:rsidR="00775B93" w:rsidRPr="009A7AEB">
        <w:rPr>
          <w:lang w:val="en-GB" w:eastAsia="en-US"/>
        </w:rPr>
        <w:t>in previous cases</w:t>
      </w:r>
      <w:r w:rsidRPr="009A7AEB">
        <w:rPr>
          <w:lang w:val="en-GB" w:eastAsia="en-US"/>
        </w:rPr>
        <w:t xml:space="preserve"> acknowledged that</w:t>
      </w:r>
      <w:r w:rsidR="006907C8" w:rsidRPr="009A7AEB">
        <w:rPr>
          <w:lang w:val="en-GB" w:eastAsia="en-US"/>
        </w:rPr>
        <w:t xml:space="preserve"> </w:t>
      </w:r>
      <w:r w:rsidRPr="009A7AEB">
        <w:rPr>
          <w:lang w:val="en-GB" w:eastAsia="en-US"/>
        </w:rPr>
        <w:t xml:space="preserve">laws with retrospective effect which were found to constitute legislative interference still conformed </w:t>
      </w:r>
      <w:r w:rsidR="008441B8" w:rsidRPr="009A7AEB">
        <w:rPr>
          <w:lang w:val="en-GB" w:eastAsia="en-US"/>
        </w:rPr>
        <w:t xml:space="preserve">to </w:t>
      </w:r>
      <w:r w:rsidRPr="009A7AEB">
        <w:rPr>
          <w:lang w:val="en-GB" w:eastAsia="en-US"/>
        </w:rPr>
        <w:t xml:space="preserve">the lawfulness requirement of Article 1 of Protocol No. 1 (see </w:t>
      </w:r>
      <w:r w:rsidRPr="009A7AEB">
        <w:rPr>
          <w:i/>
          <w:lang w:val="en-GB" w:eastAsia="en-US"/>
        </w:rPr>
        <w:t>Maggio</w:t>
      </w:r>
      <w:r w:rsidR="006907C8" w:rsidRPr="009A7AEB">
        <w:rPr>
          <w:i/>
          <w:lang w:val="en-GB" w:eastAsia="en-US"/>
        </w:rPr>
        <w:t xml:space="preserve"> and Others</w:t>
      </w:r>
      <w:r w:rsidRPr="009A7AEB">
        <w:rPr>
          <w:lang w:val="en-GB" w:eastAsia="en-US"/>
        </w:rPr>
        <w:t>, cited above § 60</w:t>
      </w:r>
      <w:r w:rsidR="006907C8" w:rsidRPr="009A7AEB">
        <w:rPr>
          <w:lang w:val="en-GB" w:eastAsia="en-US"/>
        </w:rPr>
        <w:t xml:space="preserve">, </w:t>
      </w:r>
      <w:r w:rsidR="002D3686" w:rsidRPr="009A7AEB">
        <w:rPr>
          <w:lang w:val="en-GB" w:eastAsia="en-US"/>
        </w:rPr>
        <w:t xml:space="preserve">and </w:t>
      </w:r>
      <w:r w:rsidR="006907C8" w:rsidRPr="009A7AEB">
        <w:rPr>
          <w:i/>
          <w:lang w:val="en-GB"/>
        </w:rPr>
        <w:t>Arras and Others</w:t>
      </w:r>
      <w:r w:rsidR="006907C8" w:rsidRPr="009A7AEB">
        <w:rPr>
          <w:snapToGrid w:val="0"/>
          <w:szCs w:val="24"/>
          <w:lang w:val="en-GB"/>
        </w:rPr>
        <w:t>, cited above</w:t>
      </w:r>
      <w:r w:rsidR="00090C27">
        <w:rPr>
          <w:snapToGrid w:val="0"/>
          <w:szCs w:val="24"/>
          <w:lang w:val="en-GB"/>
        </w:rPr>
        <w:t>,</w:t>
      </w:r>
      <w:r w:rsidR="006907C8" w:rsidRPr="009A7AEB">
        <w:rPr>
          <w:snapToGrid w:val="0"/>
          <w:szCs w:val="24"/>
          <w:lang w:val="en-GB"/>
        </w:rPr>
        <w:t xml:space="preserve"> § 81</w:t>
      </w:r>
      <w:r w:rsidR="006907C8" w:rsidRPr="009A7AEB">
        <w:rPr>
          <w:lang w:val="en-GB"/>
        </w:rPr>
        <w:t>).</w:t>
      </w:r>
      <w:r w:rsidR="005B67D8" w:rsidRPr="009A7AEB">
        <w:rPr>
          <w:lang w:val="en-GB" w:eastAsia="en-US"/>
        </w:rPr>
        <w:t xml:space="preserve"> It finds no reason to find otherwise in the present case.</w:t>
      </w:r>
      <w:r w:rsidR="005B67D8" w:rsidRPr="009A7AEB">
        <w:rPr>
          <w:lang w:val="en-GB"/>
        </w:rPr>
        <w:t xml:space="preserve"> Indeed,</w:t>
      </w:r>
      <w:r w:rsidR="006907C8" w:rsidRPr="009A7AEB">
        <w:rPr>
          <w:lang w:val="en-GB"/>
        </w:rPr>
        <w:t xml:space="preserve"> </w:t>
      </w:r>
      <w:r w:rsidR="005B67D8" w:rsidRPr="009A7AEB">
        <w:rPr>
          <w:lang w:val="en-GB"/>
        </w:rPr>
        <w:t>i</w:t>
      </w:r>
      <w:r w:rsidR="006907C8" w:rsidRPr="009A7AEB">
        <w:rPr>
          <w:lang w:val="en-GB"/>
        </w:rPr>
        <w:t xml:space="preserve">n </w:t>
      </w:r>
      <w:r w:rsidR="005B67D8" w:rsidRPr="009A7AEB">
        <w:rPr>
          <w:lang w:val="en-GB"/>
        </w:rPr>
        <w:t>various</w:t>
      </w:r>
      <w:r w:rsidR="006907C8" w:rsidRPr="009A7AEB">
        <w:rPr>
          <w:lang w:val="en-GB"/>
        </w:rPr>
        <w:t xml:space="preserve"> cases the</w:t>
      </w:r>
      <w:r w:rsidR="005B67D8" w:rsidRPr="009A7AEB">
        <w:rPr>
          <w:lang w:val="en-GB"/>
        </w:rPr>
        <w:t xml:space="preserve"> fact that such an interference was provided for by law</w:t>
      </w:r>
      <w:r w:rsidR="006907C8" w:rsidRPr="009A7AEB">
        <w:rPr>
          <w:lang w:val="en-GB"/>
        </w:rPr>
        <w:t xml:space="preserve"> </w:t>
      </w:r>
      <w:r w:rsidR="005B67D8" w:rsidRPr="009A7AEB">
        <w:rPr>
          <w:lang w:val="en-GB"/>
        </w:rPr>
        <w:t>as required by Article 1 of Protocol No. 1 was</w:t>
      </w:r>
      <w:r w:rsidR="006907C8" w:rsidRPr="009A7AEB">
        <w:rPr>
          <w:lang w:val="en-GB"/>
        </w:rPr>
        <w:t xml:space="preserve"> not even disputed by the parties (see for example, </w:t>
      </w:r>
      <w:r w:rsidR="006907C8" w:rsidRPr="009A7AEB">
        <w:rPr>
          <w:i/>
          <w:snapToGrid w:val="0"/>
          <w:szCs w:val="24"/>
          <w:lang w:val="en-GB"/>
        </w:rPr>
        <w:t>Maurice</w:t>
      </w:r>
      <w:r w:rsidR="006907C8" w:rsidRPr="009A7AEB">
        <w:rPr>
          <w:snapToGrid w:val="0"/>
          <w:szCs w:val="24"/>
          <w:lang w:val="en-GB"/>
        </w:rPr>
        <w:t xml:space="preserve"> [GC], cited above, § 81; </w:t>
      </w:r>
      <w:r w:rsidR="006907C8" w:rsidRPr="009A7AEB">
        <w:rPr>
          <w:i/>
          <w:snapToGrid w:val="0"/>
          <w:szCs w:val="24"/>
          <w:lang w:val="en-GB"/>
        </w:rPr>
        <w:t>Scordino (no.1)</w:t>
      </w:r>
      <w:r w:rsidR="000E6F67">
        <w:rPr>
          <w:snapToGrid w:val="0"/>
          <w:szCs w:val="24"/>
          <w:lang w:val="en-GB"/>
        </w:rPr>
        <w:t xml:space="preserve"> [GC], cited above</w:t>
      </w:r>
      <w:r w:rsidR="006907C8" w:rsidRPr="009A7AEB">
        <w:rPr>
          <w:snapToGrid w:val="0"/>
          <w:szCs w:val="24"/>
          <w:lang w:val="en-GB"/>
        </w:rPr>
        <w:t xml:space="preserve"> </w:t>
      </w:r>
      <w:r w:rsidR="005B67D8" w:rsidRPr="009A7AEB">
        <w:rPr>
          <w:snapToGrid w:val="0"/>
          <w:szCs w:val="24"/>
          <w:lang w:val="en-GB"/>
        </w:rPr>
        <w:t>§ 81;</w:t>
      </w:r>
      <w:r w:rsidR="006907C8" w:rsidRPr="009A7AEB">
        <w:rPr>
          <w:snapToGrid w:val="0"/>
          <w:szCs w:val="24"/>
          <w:lang w:val="en-GB"/>
        </w:rPr>
        <w:t xml:space="preserve"> </w:t>
      </w:r>
      <w:r w:rsidR="002D3686" w:rsidRPr="009A7AEB">
        <w:rPr>
          <w:i/>
          <w:snapToGrid w:val="0"/>
          <w:szCs w:val="24"/>
          <w:lang w:val="en-GB"/>
        </w:rPr>
        <w:t xml:space="preserve">National </w:t>
      </w:r>
      <w:r w:rsidR="002D3686" w:rsidRPr="009A7AEB">
        <w:rPr>
          <w:i/>
          <w:lang w:val="en-GB"/>
        </w:rPr>
        <w:t>&amp; Provincial Building Society</w:t>
      </w:r>
      <w:r w:rsidR="002D3686" w:rsidRPr="009A7AEB">
        <w:rPr>
          <w:lang w:val="en-GB"/>
        </w:rPr>
        <w:t>, cited above,</w:t>
      </w:r>
      <w:r w:rsidR="002D3686" w:rsidRPr="009A7AEB">
        <w:rPr>
          <w:i/>
          <w:lang w:val="en-GB"/>
        </w:rPr>
        <w:t xml:space="preserve"> </w:t>
      </w:r>
      <w:r w:rsidR="002D3686" w:rsidRPr="009A7AEB">
        <w:rPr>
          <w:snapToGrid w:val="0"/>
          <w:szCs w:val="24"/>
          <w:lang w:val="en-GB"/>
        </w:rPr>
        <w:t>§ 79;</w:t>
      </w:r>
      <w:r w:rsidR="006907C8" w:rsidRPr="009A7AEB">
        <w:rPr>
          <w:i/>
          <w:lang w:val="en-GB"/>
        </w:rPr>
        <w:t xml:space="preserve"> </w:t>
      </w:r>
      <w:r w:rsidR="002D3686" w:rsidRPr="009A7AEB">
        <w:rPr>
          <w:lang w:val="en-GB"/>
        </w:rPr>
        <w:t xml:space="preserve">and </w:t>
      </w:r>
      <w:r w:rsidR="006907C8" w:rsidRPr="009A7AEB">
        <w:rPr>
          <w:i/>
          <w:lang w:val="en-GB"/>
        </w:rPr>
        <w:t>Agrati and Others v. Italy</w:t>
      </w:r>
      <w:r w:rsidR="006907C8" w:rsidRPr="009A7AEB">
        <w:rPr>
          <w:lang w:val="en-GB"/>
        </w:rPr>
        <w:t>, nos. 43549/08, 6107/09 and 5087/09</w:t>
      </w:r>
      <w:r w:rsidR="005B67D8" w:rsidRPr="009A7AEB">
        <w:rPr>
          <w:snapToGrid w:val="0"/>
          <w:szCs w:val="24"/>
          <w:lang w:val="en-GB"/>
        </w:rPr>
        <w:t>, § 76</w:t>
      </w:r>
      <w:r w:rsidR="006907C8" w:rsidRPr="009A7AEB">
        <w:rPr>
          <w:snapToGrid w:val="0"/>
          <w:szCs w:val="24"/>
          <w:lang w:val="en-GB"/>
        </w:rPr>
        <w:t>, 7 June 2011</w:t>
      </w:r>
      <w:r w:rsidR="005B67D8" w:rsidRPr="009A7AEB">
        <w:rPr>
          <w:snapToGrid w:val="0"/>
          <w:szCs w:val="24"/>
          <w:lang w:val="en-GB"/>
        </w:rPr>
        <w:t>).</w:t>
      </w:r>
    </w:p>
    <w:p w:rsidR="00632A2E" w:rsidRDefault="00002933" w:rsidP="009B0194">
      <w:pPr>
        <w:pStyle w:val="ECHRPara"/>
        <w:rPr>
          <w:lang w:val="en-GB" w:eastAsia="en-US"/>
        </w:rPr>
      </w:pPr>
      <w:r>
        <w:rPr>
          <w:lang w:val="en-GB" w:eastAsia="en-US"/>
        </w:rPr>
        <w:fldChar w:fldCharType="begin"/>
      </w:r>
      <w:r>
        <w:rPr>
          <w:lang w:val="en-GB" w:eastAsia="en-US"/>
        </w:rPr>
        <w:instrText xml:space="preserve"> SEQ level0 \*arabic </w:instrText>
      </w:r>
      <w:r>
        <w:rPr>
          <w:lang w:val="en-GB" w:eastAsia="en-US"/>
        </w:rPr>
        <w:fldChar w:fldCharType="separate"/>
      </w:r>
      <w:r w:rsidR="00D471CA">
        <w:rPr>
          <w:noProof/>
          <w:lang w:val="en-GB" w:eastAsia="en-US"/>
        </w:rPr>
        <w:t>105</w:t>
      </w:r>
      <w:r>
        <w:rPr>
          <w:lang w:val="en-GB" w:eastAsia="en-US"/>
        </w:rPr>
        <w:fldChar w:fldCharType="end"/>
      </w:r>
      <w:r>
        <w:rPr>
          <w:lang w:val="en-GB" w:eastAsia="en-US"/>
        </w:rPr>
        <w:t>.  The Court further notes that</w:t>
      </w:r>
      <w:r w:rsidR="00965DB8">
        <w:rPr>
          <w:lang w:val="en-GB" w:eastAsia="en-US"/>
        </w:rPr>
        <w:t xml:space="preserve"> </w:t>
      </w:r>
      <w:r w:rsidR="00E03B7E">
        <w:rPr>
          <w:lang w:val="en-GB" w:eastAsia="en-US"/>
        </w:rPr>
        <w:t xml:space="preserve">in the present case </w:t>
      </w:r>
      <w:r w:rsidR="00B6096F">
        <w:rPr>
          <w:lang w:val="en-GB" w:eastAsia="en-US"/>
        </w:rPr>
        <w:t xml:space="preserve">the State action sought </w:t>
      </w:r>
      <w:r>
        <w:rPr>
          <w:lang w:val="en-GB" w:eastAsia="en-US"/>
        </w:rPr>
        <w:t xml:space="preserve">to </w:t>
      </w:r>
      <w:r w:rsidR="00965DB8">
        <w:rPr>
          <w:lang w:val="en-GB" w:eastAsia="en-US"/>
        </w:rPr>
        <w:t xml:space="preserve">decrease public expenditure by </w:t>
      </w:r>
      <w:r>
        <w:rPr>
          <w:lang w:val="en-GB" w:eastAsia="en-US"/>
        </w:rPr>
        <w:t>limit</w:t>
      </w:r>
      <w:r w:rsidR="00965DB8">
        <w:rPr>
          <w:lang w:val="en-GB" w:eastAsia="en-US"/>
        </w:rPr>
        <w:t>ing</w:t>
      </w:r>
      <w:r>
        <w:rPr>
          <w:lang w:val="en-GB" w:eastAsia="en-US"/>
        </w:rPr>
        <w:t xml:space="preserve"> the aid given to agricultural firms suffering a double hindrance.</w:t>
      </w:r>
      <w:r w:rsidR="00B6096F">
        <w:rPr>
          <w:lang w:val="en-GB" w:eastAsia="en-US"/>
        </w:rPr>
        <w:t xml:space="preserve"> That</w:t>
      </w:r>
      <w:r w:rsidR="00965DB8">
        <w:rPr>
          <w:lang w:val="en-GB" w:eastAsia="en-US"/>
        </w:rPr>
        <w:t xml:space="preserve"> aid was provided for from the S</w:t>
      </w:r>
      <w:r w:rsidR="00B6096F">
        <w:rPr>
          <w:lang w:val="en-GB" w:eastAsia="en-US"/>
        </w:rPr>
        <w:t>tate</w:t>
      </w:r>
      <w:r w:rsidR="00864D90">
        <w:rPr>
          <w:lang w:val="en-GB" w:eastAsia="en-US"/>
        </w:rPr>
        <w:t>’</w:t>
      </w:r>
      <w:r w:rsidR="00B6096F">
        <w:rPr>
          <w:lang w:val="en-GB" w:eastAsia="en-US"/>
        </w:rPr>
        <w:t>s budget and ultimately the taxpayer.</w:t>
      </w:r>
      <w:r>
        <w:rPr>
          <w:lang w:val="en-GB" w:eastAsia="en-US"/>
        </w:rPr>
        <w:t xml:space="preserve"> </w:t>
      </w:r>
      <w:r w:rsidR="00B6096F">
        <w:rPr>
          <w:lang w:val="en-GB" w:eastAsia="en-US"/>
        </w:rPr>
        <w:t xml:space="preserve">Given that the subject matter concerns </w:t>
      </w:r>
      <w:r w:rsidR="00045331">
        <w:rPr>
          <w:lang w:val="en-GB" w:eastAsia="en-US"/>
        </w:rPr>
        <w:t>the loss of “</w:t>
      </w:r>
      <w:r w:rsidR="000215BF">
        <w:rPr>
          <w:lang w:val="en-GB" w:eastAsia="en-US"/>
        </w:rPr>
        <w:t>concessions</w:t>
      </w:r>
      <w:r w:rsidR="00045331">
        <w:rPr>
          <w:lang w:val="en-GB" w:eastAsia="en-US"/>
        </w:rPr>
        <w:t>”</w:t>
      </w:r>
      <w:r w:rsidR="000215BF">
        <w:rPr>
          <w:lang w:val="en-GB" w:eastAsia="en-US"/>
        </w:rPr>
        <w:t xml:space="preserve">, </w:t>
      </w:r>
      <w:r w:rsidR="00900ADE">
        <w:rPr>
          <w:lang w:val="en-GB" w:eastAsia="en-US"/>
        </w:rPr>
        <w:t xml:space="preserve">in the form of reductions </w:t>
      </w:r>
      <w:r w:rsidR="008441B8">
        <w:rPr>
          <w:lang w:val="en-GB" w:eastAsia="en-US"/>
        </w:rPr>
        <w:t xml:space="preserve">to </w:t>
      </w:r>
      <w:r w:rsidR="00B6096F">
        <w:rPr>
          <w:lang w:val="en-GB" w:eastAsia="en-US"/>
        </w:rPr>
        <w:t>the con</w:t>
      </w:r>
      <w:r w:rsidR="000215BF">
        <w:rPr>
          <w:lang w:val="en-GB" w:eastAsia="en-US"/>
        </w:rPr>
        <w:t>tributions due by the applicant companie</w:t>
      </w:r>
      <w:r w:rsidR="00B6096F">
        <w:rPr>
          <w:lang w:val="en-GB" w:eastAsia="en-US"/>
        </w:rPr>
        <w:t>s to the State, and therefore a</w:t>
      </w:r>
      <w:r w:rsidR="000215BF">
        <w:rPr>
          <w:lang w:val="en-GB" w:eastAsia="en-US"/>
        </w:rPr>
        <w:t xml:space="preserve"> benefit or a</w:t>
      </w:r>
      <w:r w:rsidR="00B6096F">
        <w:rPr>
          <w:lang w:val="en-GB" w:eastAsia="en-US"/>
        </w:rPr>
        <w:t xml:space="preserve"> privileged right (if at all) conceded by the State, and given the wide margin of appreciation applicable in such cases, it cannot be said that the legislature</w:t>
      </w:r>
      <w:r w:rsidR="00864D90">
        <w:rPr>
          <w:lang w:val="en-GB" w:eastAsia="en-US"/>
        </w:rPr>
        <w:t>’</w:t>
      </w:r>
      <w:r w:rsidR="00B6096F">
        <w:rPr>
          <w:lang w:val="en-GB" w:eastAsia="en-US"/>
        </w:rPr>
        <w:t xml:space="preserve">s choice </w:t>
      </w:r>
      <w:r w:rsidR="005509DA">
        <w:rPr>
          <w:lang w:val="en-GB" w:eastAsia="en-US"/>
        </w:rPr>
        <w:t>to cut down on</w:t>
      </w:r>
      <w:r w:rsidR="00965DB8">
        <w:rPr>
          <w:lang w:val="en-GB" w:eastAsia="en-US"/>
        </w:rPr>
        <w:t xml:space="preserve"> that</w:t>
      </w:r>
      <w:r w:rsidR="00B6096F">
        <w:rPr>
          <w:lang w:val="en-GB" w:eastAsia="en-US"/>
        </w:rPr>
        <w:t xml:space="preserve"> expenditure was manifestly without reasonable foundation.</w:t>
      </w:r>
    </w:p>
    <w:p w:rsidR="00632A2E" w:rsidRDefault="00B6096F" w:rsidP="009B0194">
      <w:pPr>
        <w:pStyle w:val="ECHRPara"/>
        <w:rPr>
          <w:lang w:val="en-GB" w:eastAsia="en-US"/>
        </w:rPr>
      </w:pPr>
      <w:r>
        <w:rPr>
          <w:lang w:val="en-GB" w:eastAsia="en-US"/>
        </w:rPr>
        <w:fldChar w:fldCharType="begin"/>
      </w:r>
      <w:r>
        <w:rPr>
          <w:lang w:val="en-GB" w:eastAsia="en-US"/>
        </w:rPr>
        <w:instrText xml:space="preserve"> SEQ level0 \*arabic </w:instrText>
      </w:r>
      <w:r>
        <w:rPr>
          <w:lang w:val="en-GB" w:eastAsia="en-US"/>
        </w:rPr>
        <w:fldChar w:fldCharType="separate"/>
      </w:r>
      <w:r w:rsidR="00D471CA">
        <w:rPr>
          <w:noProof/>
          <w:lang w:val="en-GB" w:eastAsia="en-US"/>
        </w:rPr>
        <w:t>106</w:t>
      </w:r>
      <w:r>
        <w:rPr>
          <w:lang w:val="en-GB" w:eastAsia="en-US"/>
        </w:rPr>
        <w:fldChar w:fldCharType="end"/>
      </w:r>
      <w:r>
        <w:rPr>
          <w:lang w:val="en-GB" w:eastAsia="en-US"/>
        </w:rPr>
        <w:t>.  As to the effects of the interference on the applicant companies</w:t>
      </w:r>
      <w:r w:rsidR="00864D90">
        <w:rPr>
          <w:lang w:val="en-GB" w:eastAsia="en-US"/>
        </w:rPr>
        <w:t>’</w:t>
      </w:r>
      <w:r>
        <w:rPr>
          <w:lang w:val="en-GB" w:eastAsia="en-US"/>
        </w:rPr>
        <w:t xml:space="preserve"> financial position, the Court notes that the companies uninterruptedly paid the relevant contributions without the concession </w:t>
      </w:r>
      <w:r w:rsidR="005509DA">
        <w:rPr>
          <w:lang w:val="en-GB" w:eastAsia="en-US"/>
        </w:rPr>
        <w:t xml:space="preserve">being applied to them. Thus, they were clearly not in a position whereby they could not run </w:t>
      </w:r>
      <w:r>
        <w:rPr>
          <w:lang w:val="en-GB" w:eastAsia="en-US"/>
        </w:rPr>
        <w:t>their businesses</w:t>
      </w:r>
      <w:r w:rsidR="005509DA">
        <w:rPr>
          <w:lang w:val="en-GB" w:eastAsia="en-US"/>
        </w:rPr>
        <w:t xml:space="preserve"> because of the respective financial burdens. The</w:t>
      </w:r>
      <w:r w:rsidR="00900ADE">
        <w:rPr>
          <w:lang w:val="en-GB" w:eastAsia="en-US"/>
        </w:rPr>
        <w:t xml:space="preserve"> Court further observes that the applicant companies</w:t>
      </w:r>
      <w:r w:rsidR="005509DA">
        <w:rPr>
          <w:lang w:val="en-GB" w:eastAsia="en-US"/>
        </w:rPr>
        <w:t xml:space="preserve"> had even willingly opted to</w:t>
      </w:r>
      <w:r w:rsidR="00F42255">
        <w:rPr>
          <w:lang w:val="en-GB" w:eastAsia="en-US"/>
        </w:rPr>
        <w:t xml:space="preserve"> forfeit </w:t>
      </w:r>
      <w:r w:rsidR="00473882">
        <w:rPr>
          <w:lang w:val="en-GB" w:eastAsia="en-US"/>
        </w:rPr>
        <w:t>the</w:t>
      </w:r>
      <w:r w:rsidR="005509DA">
        <w:rPr>
          <w:lang w:val="en-GB" w:eastAsia="en-US"/>
        </w:rPr>
        <w:t xml:space="preserve"> benefit</w:t>
      </w:r>
      <w:r w:rsidR="00473882">
        <w:rPr>
          <w:lang w:val="en-GB" w:eastAsia="en-US"/>
        </w:rPr>
        <w:t xml:space="preserve"> at issue</w:t>
      </w:r>
      <w:r w:rsidR="005509DA">
        <w:rPr>
          <w:lang w:val="en-GB" w:eastAsia="en-US"/>
        </w:rPr>
        <w:t xml:space="preserve"> for </w:t>
      </w:r>
      <w:r w:rsidR="00D17924">
        <w:rPr>
          <w:lang w:val="en-GB" w:eastAsia="en-US"/>
        </w:rPr>
        <w:t xml:space="preserve">a </w:t>
      </w:r>
      <w:r w:rsidR="005509DA">
        <w:rPr>
          <w:lang w:val="en-GB" w:eastAsia="en-US"/>
        </w:rPr>
        <w:t xml:space="preserve">certain </w:t>
      </w:r>
      <w:r w:rsidR="00D17924">
        <w:rPr>
          <w:lang w:val="en-GB" w:eastAsia="en-US"/>
        </w:rPr>
        <w:t xml:space="preserve">number of </w:t>
      </w:r>
      <w:r w:rsidR="005509DA">
        <w:rPr>
          <w:lang w:val="en-GB" w:eastAsia="en-US"/>
        </w:rPr>
        <w:t xml:space="preserve">years, waiting </w:t>
      </w:r>
      <w:r w:rsidR="00F42255">
        <w:rPr>
          <w:lang w:val="en-GB" w:eastAsia="en-US"/>
        </w:rPr>
        <w:t>more than a decade before</w:t>
      </w:r>
      <w:r w:rsidR="00473882">
        <w:rPr>
          <w:lang w:val="en-GB" w:eastAsia="en-US"/>
        </w:rPr>
        <w:t xml:space="preserve"> bring</w:t>
      </w:r>
      <w:r w:rsidR="00F42255">
        <w:rPr>
          <w:lang w:val="en-GB" w:eastAsia="en-US"/>
        </w:rPr>
        <w:t>ing</w:t>
      </w:r>
      <w:r w:rsidR="00473882">
        <w:rPr>
          <w:lang w:val="en-GB" w:eastAsia="en-US"/>
        </w:rPr>
        <w:t xml:space="preserve"> their claims before the domestic court</w:t>
      </w:r>
      <w:r w:rsidR="00F42255">
        <w:rPr>
          <w:lang w:val="en-GB" w:eastAsia="en-US"/>
        </w:rPr>
        <w:t>s</w:t>
      </w:r>
      <w:r w:rsidR="00473882">
        <w:rPr>
          <w:lang w:val="en-GB" w:eastAsia="en-US"/>
        </w:rPr>
        <w:t xml:space="preserve"> </w:t>
      </w:r>
      <w:r w:rsidR="005509DA">
        <w:rPr>
          <w:lang w:val="en-GB" w:eastAsia="en-US"/>
        </w:rPr>
        <w:t xml:space="preserve">(see paragraph </w:t>
      </w:r>
      <w:r w:rsidR="00C47EAC">
        <w:rPr>
          <w:lang w:val="en-GB" w:eastAsia="en-US"/>
        </w:rPr>
        <w:t>6</w:t>
      </w:r>
      <w:r w:rsidR="00460D48">
        <w:rPr>
          <w:lang w:val="en-GB" w:eastAsia="en-US"/>
        </w:rPr>
        <w:t>5</w:t>
      </w:r>
      <w:r w:rsidR="00900ADE">
        <w:rPr>
          <w:lang w:val="en-GB" w:eastAsia="en-US"/>
        </w:rPr>
        <w:t xml:space="preserve"> </w:t>
      </w:r>
      <w:r w:rsidR="00473882">
        <w:rPr>
          <w:lang w:val="en-GB" w:eastAsia="en-US"/>
        </w:rPr>
        <w:t>above)</w:t>
      </w:r>
      <w:r w:rsidR="005509DA">
        <w:rPr>
          <w:lang w:val="en-GB" w:eastAsia="en-US"/>
        </w:rPr>
        <w:t>.</w:t>
      </w:r>
      <w:r w:rsidR="00473882">
        <w:rPr>
          <w:lang w:val="en-GB" w:eastAsia="en-US"/>
        </w:rPr>
        <w:t xml:space="preserve"> </w:t>
      </w:r>
      <w:r w:rsidR="000215BF">
        <w:rPr>
          <w:lang w:val="en-GB" w:eastAsia="en-US"/>
        </w:rPr>
        <w:t xml:space="preserve">Furthermore, the applicant companies were still the beneficiaries of another benefit, namely the exemption, conceded by the State to alleviate </w:t>
      </w:r>
      <w:r w:rsidR="001D37AA">
        <w:rPr>
          <w:lang w:val="en-GB" w:eastAsia="en-US"/>
        </w:rPr>
        <w:t>certain</w:t>
      </w:r>
      <w:r w:rsidR="000215BF">
        <w:rPr>
          <w:lang w:val="en-GB" w:eastAsia="en-US"/>
        </w:rPr>
        <w:t xml:space="preserve"> difficulties these agricultural</w:t>
      </w:r>
      <w:r w:rsidR="00900ADE">
        <w:rPr>
          <w:lang w:val="en-GB" w:eastAsia="en-US"/>
        </w:rPr>
        <w:t xml:space="preserve"> firms were facing.</w:t>
      </w:r>
    </w:p>
    <w:p w:rsidR="00F42255" w:rsidRPr="000F058F" w:rsidRDefault="00473882" w:rsidP="009B0194">
      <w:pPr>
        <w:pStyle w:val="ECHRPara"/>
        <w:rPr>
          <w:rFonts w:eastAsia="Times New Roman"/>
          <w:lang w:val="en-GB"/>
        </w:rPr>
      </w:pPr>
      <w:r>
        <w:rPr>
          <w:lang w:val="en-GB" w:eastAsia="en-US"/>
        </w:rPr>
        <w:fldChar w:fldCharType="begin"/>
      </w:r>
      <w:r>
        <w:rPr>
          <w:lang w:val="en-GB" w:eastAsia="en-US"/>
        </w:rPr>
        <w:instrText xml:space="preserve"> SEQ level0 \*arabic </w:instrText>
      </w:r>
      <w:r>
        <w:rPr>
          <w:lang w:val="en-GB" w:eastAsia="en-US"/>
        </w:rPr>
        <w:fldChar w:fldCharType="separate"/>
      </w:r>
      <w:r w:rsidR="00D471CA">
        <w:rPr>
          <w:noProof/>
          <w:lang w:val="en-GB" w:eastAsia="en-US"/>
        </w:rPr>
        <w:t>107</w:t>
      </w:r>
      <w:r>
        <w:rPr>
          <w:lang w:val="en-GB" w:eastAsia="en-US"/>
        </w:rPr>
        <w:fldChar w:fldCharType="end"/>
      </w:r>
      <w:r>
        <w:rPr>
          <w:lang w:val="en-GB" w:eastAsia="en-US"/>
        </w:rPr>
        <w:t>.  In conclusion</w:t>
      </w:r>
      <w:r w:rsidR="008F5847">
        <w:rPr>
          <w:lang w:val="en-GB" w:eastAsia="en-US"/>
        </w:rPr>
        <w:t>, bearing in mind th</w:t>
      </w:r>
      <w:r w:rsidR="00D17924">
        <w:rPr>
          <w:lang w:val="en-GB" w:eastAsia="en-US"/>
        </w:rPr>
        <w:t>at a</w:t>
      </w:r>
      <w:r w:rsidR="008F5847">
        <w:rPr>
          <w:lang w:val="en-GB" w:eastAsia="en-US"/>
        </w:rPr>
        <w:t xml:space="preserve"> wide margin of appreciation </w:t>
      </w:r>
      <w:r w:rsidR="00D17924">
        <w:rPr>
          <w:lang w:val="en-GB" w:eastAsia="en-US"/>
        </w:rPr>
        <w:t xml:space="preserve">is </w:t>
      </w:r>
      <w:r w:rsidR="008F5847">
        <w:rPr>
          <w:lang w:val="en-GB" w:eastAsia="en-US"/>
        </w:rPr>
        <w:t>applicable</w:t>
      </w:r>
      <w:r w:rsidR="008C7D39">
        <w:rPr>
          <w:lang w:val="en-GB" w:eastAsia="en-US"/>
        </w:rPr>
        <w:t xml:space="preserve"> </w:t>
      </w:r>
      <w:r w:rsidR="00460D48">
        <w:rPr>
          <w:lang w:val="en-GB" w:eastAsia="en-US"/>
        </w:rPr>
        <w:t>(see paragraph 103</w:t>
      </w:r>
      <w:r w:rsidR="008C7D39" w:rsidRPr="000F058F">
        <w:rPr>
          <w:lang w:val="en-GB" w:eastAsia="en-US"/>
        </w:rPr>
        <w:t xml:space="preserve"> above)</w:t>
      </w:r>
      <w:r w:rsidR="008F5847" w:rsidRPr="000F058F">
        <w:rPr>
          <w:lang w:val="en-GB" w:eastAsia="en-US"/>
        </w:rPr>
        <w:t>,</w:t>
      </w:r>
      <w:r w:rsidRPr="000F058F">
        <w:rPr>
          <w:lang w:val="en-GB" w:eastAsia="en-US"/>
        </w:rPr>
        <w:t xml:space="preserve"> the Court considers that </w:t>
      </w:r>
      <w:r w:rsidRPr="000F058F">
        <w:rPr>
          <w:lang w:val="en-GB"/>
        </w:rPr>
        <w:t>the</w:t>
      </w:r>
      <w:r w:rsidR="00D17924" w:rsidRPr="000F058F">
        <w:rPr>
          <w:lang w:val="en-GB"/>
        </w:rPr>
        <w:t xml:space="preserve"> applicant companies</w:t>
      </w:r>
      <w:r w:rsidR="00864D90">
        <w:rPr>
          <w:lang w:val="en-GB"/>
        </w:rPr>
        <w:t>’</w:t>
      </w:r>
      <w:r w:rsidRPr="000F058F">
        <w:rPr>
          <w:lang w:val="en-GB"/>
        </w:rPr>
        <w:t xml:space="preserve"> obligation to pay the social welfare contributions without t</w:t>
      </w:r>
      <w:r w:rsidR="000215BF" w:rsidRPr="000F058F">
        <w:rPr>
          <w:lang w:val="en-GB"/>
        </w:rPr>
        <w:t>he benefit of the</w:t>
      </w:r>
      <w:r w:rsidRPr="000F058F">
        <w:rPr>
          <w:lang w:val="en-GB"/>
        </w:rPr>
        <w:t xml:space="preserve"> concession at issue </w:t>
      </w:r>
      <w:r w:rsidR="001D37AA" w:rsidRPr="000F058F">
        <w:rPr>
          <w:lang w:val="en-GB"/>
        </w:rPr>
        <w:t xml:space="preserve">struck a fair balance between the demands of the general interest of the community and those of the applicant companies. The impugned measure </w:t>
      </w:r>
      <w:r w:rsidRPr="000F058F">
        <w:rPr>
          <w:lang w:val="en-GB"/>
        </w:rPr>
        <w:t>did not impose an excessive burden on the applicant</w:t>
      </w:r>
      <w:r w:rsidR="001D37AA" w:rsidRPr="000F058F">
        <w:rPr>
          <w:lang w:val="en-GB"/>
        </w:rPr>
        <w:t xml:space="preserve"> com</w:t>
      </w:r>
      <w:r w:rsidR="00F42255" w:rsidRPr="000F058F">
        <w:rPr>
          <w:lang w:val="en-GB"/>
        </w:rPr>
        <w:t>panies</w:t>
      </w:r>
      <w:r w:rsidRPr="000F058F">
        <w:rPr>
          <w:lang w:val="en-GB"/>
        </w:rPr>
        <w:t xml:space="preserve">, </w:t>
      </w:r>
      <w:r w:rsidR="008F5847" w:rsidRPr="000F058F">
        <w:rPr>
          <w:lang w:val="en-GB"/>
        </w:rPr>
        <w:t xml:space="preserve">or </w:t>
      </w:r>
      <w:r w:rsidR="008F5847" w:rsidRPr="000F058F">
        <w:rPr>
          <w:rFonts w:eastAsia="Times New Roman"/>
          <w:lang w:val="en-GB"/>
        </w:rPr>
        <w:t xml:space="preserve">fundamentally interfere with their financial position </w:t>
      </w:r>
      <w:r w:rsidRPr="000F058F">
        <w:rPr>
          <w:lang w:val="en-GB"/>
        </w:rPr>
        <w:t xml:space="preserve">and </w:t>
      </w:r>
      <w:r w:rsidR="001D37AA" w:rsidRPr="000F058F">
        <w:rPr>
          <w:lang w:val="en-GB"/>
        </w:rPr>
        <w:t xml:space="preserve">it </w:t>
      </w:r>
      <w:r w:rsidRPr="000F058F">
        <w:rPr>
          <w:lang w:val="en-GB"/>
        </w:rPr>
        <w:t>is therefore not to be considered contrary</w:t>
      </w:r>
      <w:r w:rsidR="00F42255" w:rsidRPr="000F058F">
        <w:rPr>
          <w:lang w:val="en-GB"/>
        </w:rPr>
        <w:t xml:space="preserve"> to Article 1 of Protocol No. 1.</w:t>
      </w:r>
    </w:p>
    <w:p w:rsidR="00E07150" w:rsidRPr="000F058F" w:rsidRDefault="00F42255" w:rsidP="009B0194">
      <w:pPr>
        <w:pStyle w:val="ECHRPara"/>
        <w:rPr>
          <w:lang w:val="en-GB" w:eastAsia="en-US"/>
        </w:rPr>
      </w:pPr>
      <w:r w:rsidRPr="000F058F">
        <w:rPr>
          <w:lang w:val="en-GB"/>
        </w:rPr>
        <w:fldChar w:fldCharType="begin"/>
      </w:r>
      <w:r w:rsidRPr="000F058F">
        <w:rPr>
          <w:lang w:val="en-GB"/>
        </w:rPr>
        <w:instrText xml:space="preserve"> SEQ level0 \*arabic </w:instrText>
      </w:r>
      <w:r w:rsidRPr="000F058F">
        <w:rPr>
          <w:lang w:val="en-GB"/>
        </w:rPr>
        <w:fldChar w:fldCharType="separate"/>
      </w:r>
      <w:r w:rsidR="00D471CA">
        <w:rPr>
          <w:noProof/>
          <w:lang w:val="en-GB"/>
        </w:rPr>
        <w:t>108</w:t>
      </w:r>
      <w:r w:rsidRPr="000F058F">
        <w:rPr>
          <w:lang w:val="en-GB"/>
        </w:rPr>
        <w:fldChar w:fldCharType="end"/>
      </w:r>
      <w:r w:rsidRPr="000F058F">
        <w:rPr>
          <w:lang w:val="en-GB"/>
        </w:rPr>
        <w:t>.  </w:t>
      </w:r>
      <w:r w:rsidR="00D738CC" w:rsidRPr="000F058F">
        <w:rPr>
          <w:lang w:val="en-GB"/>
        </w:rPr>
        <w:t>It follows that there has been no violation of that provision.</w:t>
      </w:r>
    </w:p>
    <w:p w:rsidR="00F71A6A" w:rsidRPr="00B46173" w:rsidRDefault="00241896" w:rsidP="009B0194">
      <w:pPr>
        <w:pStyle w:val="ECHRHeading1"/>
        <w:rPr>
          <w:lang w:val="en-GB"/>
        </w:rPr>
      </w:pPr>
      <w:r>
        <w:rPr>
          <w:lang w:val="en-GB"/>
        </w:rPr>
        <w:t>IV</w:t>
      </w:r>
      <w:r w:rsidR="00F71A6A" w:rsidRPr="00B46173">
        <w:rPr>
          <w:lang w:val="en-GB"/>
        </w:rPr>
        <w:t>.  APPLICATION OF ARTICLE 41 OF THE CONVENTION</w:t>
      </w:r>
    </w:p>
    <w:p w:rsidR="00F71A6A" w:rsidRPr="00B46173" w:rsidRDefault="00634F53" w:rsidP="009B0194">
      <w:pPr>
        <w:pStyle w:val="ECHRPara"/>
        <w:keepNext/>
        <w:keepLines/>
        <w:rPr>
          <w:lang w:val="en-GB"/>
        </w:rPr>
      </w:pPr>
      <w:r>
        <w:rPr>
          <w:lang w:val="en-GB"/>
        </w:rPr>
        <w:fldChar w:fldCharType="begin"/>
      </w:r>
      <w:r>
        <w:rPr>
          <w:lang w:val="en-GB"/>
        </w:rPr>
        <w:instrText xml:space="preserve"> SEQ level0 \*arabic </w:instrText>
      </w:r>
      <w:r>
        <w:rPr>
          <w:lang w:val="en-GB"/>
        </w:rPr>
        <w:fldChar w:fldCharType="separate"/>
      </w:r>
      <w:r w:rsidR="00D471CA">
        <w:rPr>
          <w:noProof/>
          <w:lang w:val="en-GB"/>
        </w:rPr>
        <w:t>109</w:t>
      </w:r>
      <w:r>
        <w:rPr>
          <w:lang w:val="en-GB"/>
        </w:rPr>
        <w:fldChar w:fldCharType="end"/>
      </w:r>
      <w:r w:rsidR="00F71A6A" w:rsidRPr="00B46173">
        <w:rPr>
          <w:lang w:val="en-GB"/>
        </w:rPr>
        <w:t>.  Article 41 of the Convention provides:</w:t>
      </w:r>
    </w:p>
    <w:p w:rsidR="00F71A6A" w:rsidRPr="00B46173" w:rsidRDefault="00F71A6A" w:rsidP="009B0194">
      <w:pPr>
        <w:pStyle w:val="ECHRParaQuote"/>
        <w:keepNext/>
        <w:keepLines/>
        <w:rPr>
          <w:lang w:val="en-GB"/>
        </w:rPr>
      </w:pPr>
      <w:r w:rsidRPr="00B46173">
        <w:rPr>
          <w:lang w:val="en-GB"/>
        </w:rPr>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rsidR="00632A2E" w:rsidRPr="00864D90" w:rsidRDefault="00F71A6A" w:rsidP="00553AB2">
      <w:pPr>
        <w:pStyle w:val="ECHRHeading2"/>
        <w:rPr>
          <w:lang w:val="en-US"/>
        </w:rPr>
      </w:pPr>
      <w:r w:rsidRPr="00864D90">
        <w:rPr>
          <w:lang w:val="en-US"/>
        </w:rPr>
        <w:t>A.  Damage</w:t>
      </w:r>
    </w:p>
    <w:p w:rsidR="00F71A6A" w:rsidRDefault="00634F53" w:rsidP="009B0194">
      <w:pPr>
        <w:pStyle w:val="ECHRPara"/>
        <w:rPr>
          <w:lang w:val="en-GB"/>
        </w:rPr>
      </w:pPr>
      <w:r>
        <w:rPr>
          <w:lang w:val="en-GB"/>
        </w:rPr>
        <w:fldChar w:fldCharType="begin"/>
      </w:r>
      <w:r>
        <w:rPr>
          <w:lang w:val="en-GB"/>
        </w:rPr>
        <w:instrText xml:space="preserve"> SEQ level0 \*arabic </w:instrText>
      </w:r>
      <w:r>
        <w:rPr>
          <w:lang w:val="en-GB"/>
        </w:rPr>
        <w:fldChar w:fldCharType="separate"/>
      </w:r>
      <w:r w:rsidR="00D471CA">
        <w:rPr>
          <w:noProof/>
          <w:lang w:val="en-GB"/>
        </w:rPr>
        <w:t>110</w:t>
      </w:r>
      <w:r>
        <w:rPr>
          <w:lang w:val="en-GB"/>
        </w:rPr>
        <w:fldChar w:fldCharType="end"/>
      </w:r>
      <w:r w:rsidR="00F71A6A" w:rsidRPr="00B46173">
        <w:rPr>
          <w:lang w:val="en-GB"/>
        </w:rPr>
        <w:t xml:space="preserve">.  The </w:t>
      </w:r>
      <w:r w:rsidR="0005522C" w:rsidRPr="00B46173">
        <w:rPr>
          <w:lang w:val="en-GB"/>
        </w:rPr>
        <w:t>applicant</w:t>
      </w:r>
      <w:r w:rsidR="00174DAE">
        <w:rPr>
          <w:lang w:val="en-GB"/>
        </w:rPr>
        <w:t xml:space="preserve"> companie</w:t>
      </w:r>
      <w:r w:rsidRPr="00B46173">
        <w:rPr>
          <w:noProof/>
          <w:lang w:val="en-GB"/>
        </w:rPr>
        <w:t>s</w:t>
      </w:r>
      <w:r w:rsidR="00F71A6A" w:rsidRPr="00B46173">
        <w:rPr>
          <w:lang w:val="en-GB"/>
        </w:rPr>
        <w:t xml:space="preserve"> claimed </w:t>
      </w:r>
      <w:r w:rsidR="00174DAE">
        <w:rPr>
          <w:lang w:val="en-GB"/>
        </w:rPr>
        <w:t xml:space="preserve">the following sums </w:t>
      </w:r>
      <w:r w:rsidR="00F71A6A" w:rsidRPr="00B46173">
        <w:rPr>
          <w:lang w:val="en-GB"/>
        </w:rPr>
        <w:t>in respect of pecuniary damage</w:t>
      </w:r>
      <w:r w:rsidR="00174DAE">
        <w:rPr>
          <w:lang w:val="en-GB"/>
        </w:rPr>
        <w:t>, representing the monies which</w:t>
      </w:r>
      <w:r w:rsidR="00CD0699">
        <w:rPr>
          <w:lang w:val="en-GB"/>
        </w:rPr>
        <w:t xml:space="preserve"> they had </w:t>
      </w:r>
      <w:r w:rsidR="00ED2B8E">
        <w:rPr>
          <w:lang w:val="en-GB"/>
        </w:rPr>
        <w:t xml:space="preserve">unjustly </w:t>
      </w:r>
      <w:r w:rsidR="00CD0699">
        <w:rPr>
          <w:lang w:val="en-GB"/>
        </w:rPr>
        <w:t xml:space="preserve">paid </w:t>
      </w:r>
      <w:r w:rsidR="00ED2B8E">
        <w:rPr>
          <w:lang w:val="en-GB"/>
        </w:rPr>
        <w:t>because of an “erroneous” calculation (any sums already paid back by the INPS in the execution of the relevant judgments and not yet returned by the applicant</w:t>
      </w:r>
      <w:r w:rsidR="00064F2E">
        <w:rPr>
          <w:lang w:val="en-GB"/>
        </w:rPr>
        <w:t xml:space="preserve"> companie</w:t>
      </w:r>
      <w:r w:rsidR="00ED2B8E">
        <w:rPr>
          <w:lang w:val="en-GB"/>
        </w:rPr>
        <w:t>s</w:t>
      </w:r>
      <w:r w:rsidR="001D37AA">
        <w:rPr>
          <w:lang w:val="en-GB"/>
        </w:rPr>
        <w:t xml:space="preserve"> would then be deducted</w:t>
      </w:r>
      <w:r w:rsidR="00ED2B8E">
        <w:rPr>
          <w:lang w:val="en-GB"/>
        </w:rPr>
        <w:t>)</w:t>
      </w:r>
      <w:r w:rsidR="00174DAE">
        <w:rPr>
          <w:lang w:val="en-GB"/>
        </w:rPr>
        <w:t>, plus interest</w:t>
      </w:r>
      <w:r w:rsidR="00CD0699">
        <w:rPr>
          <w:lang w:val="en-GB"/>
        </w:rPr>
        <w:t xml:space="preserve"> up to 2013</w:t>
      </w:r>
      <w:r w:rsidR="001D37AA">
        <w:rPr>
          <w:lang w:val="en-GB"/>
        </w:rPr>
        <w:t>:</w:t>
      </w:r>
    </w:p>
    <w:p w:rsidR="00CD0699" w:rsidRPr="00174DAE" w:rsidRDefault="00CD0699" w:rsidP="009B0194">
      <w:pPr>
        <w:pStyle w:val="ECHRPara"/>
        <w:rPr>
          <w:lang w:val="it-IT"/>
        </w:rPr>
      </w:pPr>
      <w:r w:rsidRPr="00174DAE">
        <w:rPr>
          <w:lang w:val="it-IT"/>
        </w:rPr>
        <w:t>Azienda Agricola Silverfunghi –</w:t>
      </w:r>
      <w:r w:rsidR="00316EEC">
        <w:rPr>
          <w:lang w:val="it-IT"/>
        </w:rPr>
        <w:t xml:space="preserve"> </w:t>
      </w:r>
      <w:r>
        <w:rPr>
          <w:lang w:val="it-IT"/>
        </w:rPr>
        <w:t xml:space="preserve">89,729 </w:t>
      </w:r>
      <w:r w:rsidR="00523D3D" w:rsidRPr="00174DAE">
        <w:rPr>
          <w:lang w:val="it-IT"/>
        </w:rPr>
        <w:t>euros (EUR</w:t>
      </w:r>
      <w:r w:rsidR="00523D3D">
        <w:rPr>
          <w:lang w:val="it-IT"/>
        </w:rPr>
        <w:t xml:space="preserve">) </w:t>
      </w:r>
      <w:r>
        <w:rPr>
          <w:lang w:val="it-IT"/>
        </w:rPr>
        <w:t xml:space="preserve">+ </w:t>
      </w:r>
      <w:r w:rsidRPr="00174DAE">
        <w:rPr>
          <w:lang w:val="it-IT"/>
        </w:rPr>
        <w:t>EUR</w:t>
      </w:r>
      <w:r>
        <w:rPr>
          <w:lang w:val="it-IT"/>
        </w:rPr>
        <w:t xml:space="preserve"> 27,940</w:t>
      </w:r>
    </w:p>
    <w:p w:rsidR="00CD0699" w:rsidRDefault="00CD0699" w:rsidP="009B0194">
      <w:pPr>
        <w:pStyle w:val="ECHRPara"/>
        <w:rPr>
          <w:lang w:val="it-IT"/>
        </w:rPr>
      </w:pPr>
      <w:r w:rsidRPr="00174DAE">
        <w:rPr>
          <w:lang w:val="it-IT"/>
        </w:rPr>
        <w:t>Sca</w:t>
      </w:r>
      <w:r>
        <w:rPr>
          <w:lang w:val="it-IT"/>
        </w:rPr>
        <w:t>rpellini S.</w:t>
      </w:r>
      <w:r w:rsidR="00606E4B">
        <w:rPr>
          <w:lang w:val="it-IT"/>
        </w:rPr>
        <w:t>r</w:t>
      </w:r>
      <w:r w:rsidRPr="00174DAE">
        <w:rPr>
          <w:lang w:val="it-IT"/>
        </w:rPr>
        <w:t>.</w:t>
      </w:r>
      <w:r w:rsidR="00606E4B">
        <w:rPr>
          <w:lang w:val="it-IT"/>
        </w:rPr>
        <w:t>l</w:t>
      </w:r>
      <w:r>
        <w:rPr>
          <w:lang w:val="it-IT"/>
        </w:rPr>
        <w:t>.</w:t>
      </w:r>
      <w:r w:rsidR="00316EEC">
        <w:rPr>
          <w:lang w:val="it-IT"/>
        </w:rPr>
        <w:t>–</w:t>
      </w:r>
      <w:r>
        <w:rPr>
          <w:lang w:val="it-IT"/>
        </w:rPr>
        <w:t xml:space="preserve"> </w:t>
      </w:r>
      <w:r w:rsidRPr="00174DAE">
        <w:rPr>
          <w:lang w:val="it-IT"/>
        </w:rPr>
        <w:t>EUR</w:t>
      </w:r>
      <w:r>
        <w:rPr>
          <w:lang w:val="it-IT"/>
        </w:rPr>
        <w:t xml:space="preserve"> 213,776 + </w:t>
      </w:r>
      <w:r w:rsidRPr="00174DAE">
        <w:rPr>
          <w:lang w:val="it-IT"/>
        </w:rPr>
        <w:t>EUR</w:t>
      </w:r>
      <w:r>
        <w:rPr>
          <w:lang w:val="it-IT"/>
        </w:rPr>
        <w:t xml:space="preserve"> 62,297</w:t>
      </w:r>
    </w:p>
    <w:p w:rsidR="00CD0699" w:rsidRDefault="00CD0699" w:rsidP="009B0194">
      <w:pPr>
        <w:pStyle w:val="ECHRPara"/>
        <w:rPr>
          <w:bCs/>
          <w:szCs w:val="24"/>
          <w:lang w:val="it-IT"/>
        </w:rPr>
      </w:pPr>
      <w:r w:rsidRPr="00174DAE">
        <w:rPr>
          <w:bCs/>
          <w:szCs w:val="24"/>
          <w:lang w:val="it-IT"/>
        </w:rPr>
        <w:t>S.A.P. Pietrafitta S.</w:t>
      </w:r>
      <w:r w:rsidR="00606E4B">
        <w:rPr>
          <w:bCs/>
          <w:szCs w:val="24"/>
          <w:lang w:val="it-IT"/>
        </w:rPr>
        <w:t>r</w:t>
      </w:r>
      <w:r w:rsidRPr="00174DAE">
        <w:rPr>
          <w:bCs/>
          <w:szCs w:val="24"/>
          <w:lang w:val="it-IT"/>
        </w:rPr>
        <w:t>.</w:t>
      </w:r>
      <w:r w:rsidR="00606E4B">
        <w:rPr>
          <w:bCs/>
          <w:szCs w:val="24"/>
          <w:lang w:val="it-IT"/>
        </w:rPr>
        <w:t>l</w:t>
      </w:r>
      <w:r w:rsidRPr="00174DAE">
        <w:rPr>
          <w:bCs/>
          <w:szCs w:val="24"/>
          <w:lang w:val="it-IT"/>
        </w:rPr>
        <w:t xml:space="preserve">. </w:t>
      </w:r>
      <w:r>
        <w:rPr>
          <w:bCs/>
          <w:szCs w:val="24"/>
          <w:lang w:val="it-IT"/>
        </w:rPr>
        <w:t>–</w:t>
      </w:r>
      <w:r w:rsidRPr="00CD0699">
        <w:rPr>
          <w:lang w:val="it-IT"/>
        </w:rPr>
        <w:t xml:space="preserve"> </w:t>
      </w:r>
      <w:r w:rsidRPr="00174DAE">
        <w:rPr>
          <w:lang w:val="it-IT"/>
        </w:rPr>
        <w:t>EUR</w:t>
      </w:r>
      <w:r>
        <w:rPr>
          <w:lang w:val="it-IT"/>
        </w:rPr>
        <w:t xml:space="preserve"> 108,770 + </w:t>
      </w:r>
      <w:r w:rsidRPr="00174DAE">
        <w:rPr>
          <w:lang w:val="it-IT"/>
        </w:rPr>
        <w:t>EUR</w:t>
      </w:r>
      <w:r>
        <w:rPr>
          <w:lang w:val="it-IT"/>
        </w:rPr>
        <w:t xml:space="preserve"> 36,924</w:t>
      </w:r>
    </w:p>
    <w:p w:rsidR="00CD0699" w:rsidRDefault="00CD0699" w:rsidP="009B0194">
      <w:pPr>
        <w:pStyle w:val="ECHRPara"/>
        <w:rPr>
          <w:lang w:val="it-IT"/>
        </w:rPr>
      </w:pPr>
      <w:r w:rsidRPr="00CD0699">
        <w:rPr>
          <w:bCs/>
          <w:szCs w:val="24"/>
          <w:lang w:val="it-IT"/>
        </w:rPr>
        <w:t xml:space="preserve">Floricultura Zanchi Di Zanchi – </w:t>
      </w:r>
      <w:r w:rsidRPr="00174DAE">
        <w:rPr>
          <w:lang w:val="it-IT"/>
        </w:rPr>
        <w:t>EUR</w:t>
      </w:r>
      <w:r w:rsidRPr="00CD0699">
        <w:rPr>
          <w:bCs/>
          <w:szCs w:val="24"/>
          <w:lang w:val="it-IT"/>
        </w:rPr>
        <w:t xml:space="preserve"> 84,375</w:t>
      </w:r>
      <w:r>
        <w:rPr>
          <w:bCs/>
          <w:szCs w:val="24"/>
          <w:lang w:val="it-IT"/>
        </w:rPr>
        <w:t xml:space="preserve"> </w:t>
      </w:r>
      <w:r>
        <w:rPr>
          <w:lang w:val="it-IT"/>
        </w:rPr>
        <w:t xml:space="preserve">+ </w:t>
      </w:r>
      <w:r w:rsidRPr="00174DAE">
        <w:rPr>
          <w:lang w:val="it-IT"/>
        </w:rPr>
        <w:t>EUR</w:t>
      </w:r>
      <w:r>
        <w:rPr>
          <w:lang w:val="it-IT"/>
        </w:rPr>
        <w:t xml:space="preserve"> 23,374</w:t>
      </w:r>
    </w:p>
    <w:p w:rsidR="00632A2E" w:rsidRDefault="00174DAE" w:rsidP="009B0194">
      <w:pPr>
        <w:pStyle w:val="ECHRPara"/>
        <w:rPr>
          <w:bCs/>
          <w:szCs w:val="24"/>
          <w:lang w:val="en-GB"/>
        </w:rPr>
      </w:pPr>
      <w:r w:rsidRPr="00CD0699">
        <w:rPr>
          <w:bCs/>
          <w:szCs w:val="24"/>
          <w:lang w:val="en-GB"/>
        </w:rPr>
        <w:t xml:space="preserve">They </w:t>
      </w:r>
      <w:r w:rsidR="00CD0699">
        <w:rPr>
          <w:bCs/>
          <w:szCs w:val="24"/>
          <w:lang w:val="en-GB"/>
        </w:rPr>
        <w:t>al</w:t>
      </w:r>
      <w:r w:rsidR="00CD0699" w:rsidRPr="00CD0699">
        <w:rPr>
          <w:bCs/>
          <w:szCs w:val="24"/>
          <w:lang w:val="en-GB"/>
        </w:rPr>
        <w:t>s</w:t>
      </w:r>
      <w:r w:rsidR="00CD0699">
        <w:rPr>
          <w:bCs/>
          <w:szCs w:val="24"/>
          <w:lang w:val="en-GB"/>
        </w:rPr>
        <w:t>o claimed EUR</w:t>
      </w:r>
      <w:r w:rsidR="00CD0699" w:rsidRPr="00CD0699">
        <w:rPr>
          <w:bCs/>
          <w:szCs w:val="24"/>
          <w:lang w:val="en-GB"/>
        </w:rPr>
        <w:t xml:space="preserve"> 1,000 each in </w:t>
      </w:r>
      <w:r w:rsidR="00523D3D">
        <w:rPr>
          <w:bCs/>
          <w:szCs w:val="24"/>
          <w:lang w:val="en-GB"/>
        </w:rPr>
        <w:t xml:space="preserve">respect of </w:t>
      </w:r>
      <w:r w:rsidR="00CD0699" w:rsidRPr="00CD0699">
        <w:rPr>
          <w:bCs/>
          <w:szCs w:val="24"/>
          <w:lang w:val="en-GB"/>
        </w:rPr>
        <w:t>non-pecuniary damage.</w:t>
      </w:r>
    </w:p>
    <w:p w:rsidR="00F71A6A" w:rsidRPr="00B46173" w:rsidRDefault="00634F53" w:rsidP="009B0194">
      <w:pPr>
        <w:pStyle w:val="ECHRPara"/>
        <w:rPr>
          <w:lang w:val="en-GB"/>
        </w:rPr>
      </w:pPr>
      <w:r>
        <w:rPr>
          <w:lang w:val="en-GB"/>
        </w:rPr>
        <w:fldChar w:fldCharType="begin"/>
      </w:r>
      <w:r>
        <w:rPr>
          <w:lang w:val="en-GB"/>
        </w:rPr>
        <w:instrText xml:space="preserve"> SEQ level0 \*arabic </w:instrText>
      </w:r>
      <w:r>
        <w:rPr>
          <w:lang w:val="en-GB"/>
        </w:rPr>
        <w:fldChar w:fldCharType="separate"/>
      </w:r>
      <w:r w:rsidR="00D471CA">
        <w:rPr>
          <w:noProof/>
          <w:lang w:val="en-GB"/>
        </w:rPr>
        <w:t>111</w:t>
      </w:r>
      <w:r>
        <w:rPr>
          <w:lang w:val="en-GB"/>
        </w:rPr>
        <w:fldChar w:fldCharType="end"/>
      </w:r>
      <w:r w:rsidR="00F71A6A" w:rsidRPr="00B46173">
        <w:rPr>
          <w:lang w:val="en-GB"/>
        </w:rPr>
        <w:t xml:space="preserve">.  The Government </w:t>
      </w:r>
      <w:r w:rsidR="00BD6A83">
        <w:rPr>
          <w:lang w:val="en-GB"/>
        </w:rPr>
        <w:t>submitted that in the event of a violation of Article 6 the Court</w:t>
      </w:r>
      <w:r w:rsidR="00BD6A83" w:rsidRPr="00BD6A83">
        <w:rPr>
          <w:lang w:val="en-GB"/>
        </w:rPr>
        <w:t xml:space="preserve"> </w:t>
      </w:r>
      <w:r w:rsidR="00BD6A83">
        <w:rPr>
          <w:lang w:val="en-GB"/>
        </w:rPr>
        <w:t xml:space="preserve">could not speculate as to the outcome of the proceedings, </w:t>
      </w:r>
      <w:r w:rsidR="00523D3D">
        <w:rPr>
          <w:lang w:val="en-GB"/>
        </w:rPr>
        <w:t xml:space="preserve">and therefore </w:t>
      </w:r>
      <w:r w:rsidR="00BD6A83">
        <w:rPr>
          <w:lang w:val="en-GB"/>
        </w:rPr>
        <w:t>the applicant companies</w:t>
      </w:r>
      <w:r w:rsidR="00864D90">
        <w:rPr>
          <w:lang w:val="en-GB"/>
        </w:rPr>
        <w:t>’</w:t>
      </w:r>
      <w:r w:rsidR="00BD6A83">
        <w:rPr>
          <w:lang w:val="en-GB"/>
        </w:rPr>
        <w:t xml:space="preserve"> claims had no basis in the Court</w:t>
      </w:r>
      <w:r w:rsidR="00864D90">
        <w:rPr>
          <w:lang w:val="en-GB"/>
        </w:rPr>
        <w:t>’</w:t>
      </w:r>
      <w:r w:rsidR="00BD6A83">
        <w:rPr>
          <w:lang w:val="en-GB"/>
        </w:rPr>
        <w:t xml:space="preserve">s </w:t>
      </w:r>
      <w:r w:rsidR="00523D3D">
        <w:rPr>
          <w:lang w:val="en-GB"/>
        </w:rPr>
        <w:t>case-law</w:t>
      </w:r>
      <w:r w:rsidR="00BD6A83">
        <w:rPr>
          <w:lang w:val="en-GB"/>
        </w:rPr>
        <w:t>.</w:t>
      </w:r>
    </w:p>
    <w:p w:rsidR="00632A2E" w:rsidRDefault="00634F53" w:rsidP="009B0194">
      <w:pPr>
        <w:pStyle w:val="ECHRPara"/>
        <w:rPr>
          <w:lang w:val="en-GB"/>
        </w:rPr>
      </w:pPr>
      <w:r>
        <w:rPr>
          <w:lang w:val="en-GB"/>
        </w:rPr>
        <w:fldChar w:fldCharType="begin"/>
      </w:r>
      <w:r>
        <w:rPr>
          <w:lang w:val="en-GB"/>
        </w:rPr>
        <w:instrText xml:space="preserve"> SEQ level0 \*arabic </w:instrText>
      </w:r>
      <w:r>
        <w:rPr>
          <w:lang w:val="en-GB"/>
        </w:rPr>
        <w:fldChar w:fldCharType="separate"/>
      </w:r>
      <w:r w:rsidR="00D471CA">
        <w:rPr>
          <w:noProof/>
          <w:lang w:val="en-GB"/>
        </w:rPr>
        <w:t>112</w:t>
      </w:r>
      <w:r>
        <w:rPr>
          <w:lang w:val="en-GB"/>
        </w:rPr>
        <w:fldChar w:fldCharType="end"/>
      </w:r>
      <w:r w:rsidR="00F71A6A" w:rsidRPr="00B46173">
        <w:rPr>
          <w:lang w:val="en-GB"/>
        </w:rPr>
        <w:t>. </w:t>
      </w:r>
      <w:r w:rsidR="00553AB2">
        <w:rPr>
          <w:lang w:val="en-GB"/>
        </w:rPr>
        <w:t> </w:t>
      </w:r>
      <w:r w:rsidR="00B80483" w:rsidRPr="00B80483">
        <w:rPr>
          <w:lang w:val="en-GB" w:eastAsia="en-US"/>
        </w:rPr>
        <w:t>The Court notes that in the present case an award of just satisfaction can only be based on the fact that the applicant</w:t>
      </w:r>
      <w:r w:rsidR="00064F2E">
        <w:rPr>
          <w:lang w:val="en-GB" w:eastAsia="en-US"/>
        </w:rPr>
        <w:t xml:space="preserve"> companie</w:t>
      </w:r>
      <w:r w:rsidR="00B80483" w:rsidRPr="00B80483">
        <w:rPr>
          <w:lang w:val="en-GB" w:eastAsia="en-US"/>
        </w:rPr>
        <w:t xml:space="preserve">s did not have the benefit of the guarantees of Article 6 in respect of the fairness of the proceedings. </w:t>
      </w:r>
      <w:r w:rsidR="0006160F">
        <w:rPr>
          <w:lang w:val="en-GB" w:eastAsia="en-US"/>
        </w:rPr>
        <w:t>Whilst</w:t>
      </w:r>
      <w:r w:rsidR="00B80483" w:rsidRPr="00B80483">
        <w:rPr>
          <w:lang w:val="en-GB" w:eastAsia="en-US"/>
        </w:rPr>
        <w:t xml:space="preserve"> the Court cannot speculate as to the outcome of the trial had the position been otherwise, it does not find it unreasonable to regard the applicant</w:t>
      </w:r>
      <w:r w:rsidR="00064F2E">
        <w:rPr>
          <w:lang w:val="en-GB" w:eastAsia="en-US"/>
        </w:rPr>
        <w:t xml:space="preserve"> companie</w:t>
      </w:r>
      <w:r w:rsidR="00B80483" w:rsidRPr="00B80483">
        <w:rPr>
          <w:lang w:val="en-GB" w:eastAsia="en-US"/>
        </w:rPr>
        <w:t>s as having suffered a loss of real opportunities (see</w:t>
      </w:r>
      <w:r w:rsidR="00B80483">
        <w:rPr>
          <w:lang w:val="en-GB" w:eastAsia="en-US"/>
        </w:rPr>
        <w:t xml:space="preserve"> </w:t>
      </w:r>
      <w:r w:rsidR="00C138EA">
        <w:rPr>
          <w:i/>
          <w:lang w:val="en-GB"/>
        </w:rPr>
        <w:t>Maggio and Others</w:t>
      </w:r>
      <w:r w:rsidR="00B80483">
        <w:rPr>
          <w:snapToGrid w:val="0"/>
          <w:szCs w:val="24"/>
          <w:lang w:val="en-GB"/>
        </w:rPr>
        <w:t>,</w:t>
      </w:r>
      <w:r w:rsidR="00C138EA">
        <w:rPr>
          <w:snapToGrid w:val="0"/>
          <w:szCs w:val="24"/>
          <w:lang w:val="en-GB"/>
        </w:rPr>
        <w:t xml:space="preserve"> cited above,</w:t>
      </w:r>
      <w:r w:rsidR="00B80483">
        <w:rPr>
          <w:snapToGrid w:val="0"/>
          <w:szCs w:val="24"/>
          <w:lang w:val="en-GB"/>
        </w:rPr>
        <w:t xml:space="preserve"> § 80</w:t>
      </w:r>
      <w:r w:rsidR="00C138EA">
        <w:rPr>
          <w:snapToGrid w:val="0"/>
          <w:szCs w:val="24"/>
          <w:lang w:val="en-GB"/>
        </w:rPr>
        <w:t xml:space="preserve">, </w:t>
      </w:r>
      <w:r w:rsidR="00B80483">
        <w:rPr>
          <w:snapToGrid w:val="0"/>
          <w:szCs w:val="24"/>
          <w:lang w:val="en-GB"/>
        </w:rPr>
        <w:t xml:space="preserve">and </w:t>
      </w:r>
      <w:r w:rsidR="00B80483" w:rsidRPr="00B668D2">
        <w:rPr>
          <w:i/>
          <w:lang w:val="en-GB"/>
        </w:rPr>
        <w:t>Arras and Others</w:t>
      </w:r>
      <w:r w:rsidR="00B80483">
        <w:rPr>
          <w:snapToGrid w:val="0"/>
          <w:szCs w:val="24"/>
          <w:lang w:val="en-GB"/>
        </w:rPr>
        <w:t>,</w:t>
      </w:r>
      <w:r w:rsidR="00C138EA">
        <w:rPr>
          <w:snapToGrid w:val="0"/>
          <w:szCs w:val="24"/>
          <w:lang w:val="en-GB"/>
        </w:rPr>
        <w:t xml:space="preserve"> cited above,</w:t>
      </w:r>
      <w:r w:rsidR="00B80483">
        <w:rPr>
          <w:snapToGrid w:val="0"/>
          <w:szCs w:val="24"/>
          <w:lang w:val="en-GB"/>
        </w:rPr>
        <w:t xml:space="preserve"> § 88</w:t>
      </w:r>
      <w:r w:rsidR="00B80483">
        <w:rPr>
          <w:lang w:val="en-GB"/>
        </w:rPr>
        <w:t>).</w:t>
      </w:r>
    </w:p>
    <w:p w:rsidR="000F058F" w:rsidRPr="009A7AEB" w:rsidRDefault="007756F8" w:rsidP="009B0194">
      <w:pPr>
        <w:pStyle w:val="ECHRPara"/>
        <w:rPr>
          <w:rFonts w:ascii="Times New Roman" w:hAnsi="Times New Roman" w:cs="Times New Roman"/>
          <w:bCs/>
          <w:lang w:val="en-GB"/>
        </w:rPr>
      </w:pPr>
      <w:r w:rsidRPr="009A7AEB">
        <w:fldChar w:fldCharType="begin"/>
      </w:r>
      <w:r w:rsidRPr="009A7AEB">
        <w:rPr>
          <w:lang w:val="en-GB"/>
        </w:rPr>
        <w:instrText xml:space="preserve"> SEQ level0 \*arabic </w:instrText>
      </w:r>
      <w:r w:rsidRPr="009A7AEB">
        <w:fldChar w:fldCharType="separate"/>
      </w:r>
      <w:r w:rsidR="00D471CA">
        <w:rPr>
          <w:noProof/>
          <w:lang w:val="en-GB"/>
        </w:rPr>
        <w:t>113</w:t>
      </w:r>
      <w:r w:rsidRPr="009A7AEB">
        <w:fldChar w:fldCharType="end"/>
      </w:r>
      <w:r w:rsidR="008B7BEF" w:rsidRPr="009A7AEB">
        <w:rPr>
          <w:lang w:val="en-GB"/>
        </w:rPr>
        <w:t>. </w:t>
      </w:r>
      <w:r w:rsidR="00553AB2">
        <w:rPr>
          <w:lang w:val="en-GB"/>
        </w:rPr>
        <w:t> </w:t>
      </w:r>
      <w:r w:rsidR="008B7BEF" w:rsidRPr="009A7AEB">
        <w:rPr>
          <w:lang w:val="en-GB"/>
        </w:rPr>
        <w:t>In the present case, in order to quantify such loss, the Court recalls its finding in paragraph</w:t>
      </w:r>
      <w:r w:rsidR="0030173E" w:rsidRPr="009A7AEB">
        <w:rPr>
          <w:lang w:val="en-GB"/>
        </w:rPr>
        <w:t>s</w:t>
      </w:r>
      <w:r w:rsidR="00460D48" w:rsidRPr="009A7AEB">
        <w:rPr>
          <w:lang w:val="en-GB"/>
        </w:rPr>
        <w:t xml:space="preserve"> 77 and 87</w:t>
      </w:r>
      <w:r w:rsidR="008B7BEF" w:rsidRPr="009A7AEB">
        <w:rPr>
          <w:lang w:val="en-GB"/>
        </w:rPr>
        <w:t xml:space="preserve"> above, that the applicant companies had already obtained first-instance and appeal judgments in their favour, recognising their claims, before the intervention of the impugned law, the enactment of which together with its application by the Court of Cassation had the direct effect of constituting a violation of Article 6 </w:t>
      </w:r>
      <w:r w:rsidR="008B7BEF" w:rsidRPr="009A7AEB">
        <w:rPr>
          <w:snapToGrid w:val="0"/>
          <w:szCs w:val="24"/>
          <w:lang w:val="en-GB"/>
        </w:rPr>
        <w:t xml:space="preserve">§ 1 of the Convention. </w:t>
      </w:r>
      <w:r w:rsidR="000F058F" w:rsidRPr="009A7AEB">
        <w:rPr>
          <w:rFonts w:ascii="Times New Roman" w:hAnsi="Times New Roman" w:cs="Times New Roman"/>
          <w:lang w:val="en-GB"/>
        </w:rPr>
        <w:t>Furthermore, the Cou</w:t>
      </w:r>
      <w:r w:rsidR="00317A3E">
        <w:rPr>
          <w:rFonts w:ascii="Times New Roman" w:hAnsi="Times New Roman" w:cs="Times New Roman"/>
          <w:lang w:val="en-GB"/>
        </w:rPr>
        <w:t>rt notes that the Government have</w:t>
      </w:r>
      <w:r w:rsidR="000F058F" w:rsidRPr="009A7AEB">
        <w:rPr>
          <w:rFonts w:ascii="Times New Roman" w:hAnsi="Times New Roman" w:cs="Times New Roman"/>
          <w:lang w:val="en-GB"/>
        </w:rPr>
        <w:t xml:space="preserve"> not submitted any arguments</w:t>
      </w:r>
      <w:r w:rsidR="00632A2E">
        <w:rPr>
          <w:rFonts w:ascii="Times New Roman" w:hAnsi="Times New Roman" w:cs="Times New Roman"/>
          <w:lang w:val="en-GB"/>
        </w:rPr>
        <w:t xml:space="preserve"> </w:t>
      </w:r>
      <w:r w:rsidR="000F058F" w:rsidRPr="009A7AEB">
        <w:rPr>
          <w:rFonts w:ascii="Times New Roman" w:hAnsi="Times New Roman" w:cs="Times New Roman"/>
          <w:bCs/>
          <w:lang w:val="en-GB"/>
        </w:rPr>
        <w:t>e.g. lack of complete uniformity of domestic case-law in the applicant</w:t>
      </w:r>
      <w:r w:rsidR="00864D90">
        <w:rPr>
          <w:rFonts w:ascii="Times New Roman" w:hAnsi="Times New Roman" w:cs="Times New Roman"/>
          <w:bCs/>
          <w:lang w:val="en-GB"/>
        </w:rPr>
        <w:t>’</w:t>
      </w:r>
      <w:r w:rsidR="000F058F" w:rsidRPr="009A7AEB">
        <w:rPr>
          <w:rFonts w:ascii="Times New Roman" w:hAnsi="Times New Roman" w:cs="Times New Roman"/>
          <w:bCs/>
          <w:lang w:val="en-GB"/>
        </w:rPr>
        <w:t>s favour (see</w:t>
      </w:r>
      <w:r w:rsidR="00C55DDE">
        <w:rPr>
          <w:rFonts w:ascii="Times New Roman" w:hAnsi="Times New Roman" w:cs="Times New Roman"/>
          <w:bCs/>
          <w:lang w:val="en-GB"/>
        </w:rPr>
        <w:t>,</w:t>
      </w:r>
      <w:r w:rsidR="000F058F" w:rsidRPr="009A7AEB">
        <w:rPr>
          <w:rFonts w:ascii="Times New Roman" w:hAnsi="Times New Roman" w:cs="Times New Roman"/>
          <w:bCs/>
          <w:lang w:val="en-GB"/>
        </w:rPr>
        <w:t xml:space="preserve"> in contrast, </w:t>
      </w:r>
      <w:r w:rsidR="000F058F" w:rsidRPr="009A7AEB">
        <w:rPr>
          <w:rFonts w:ascii="Times New Roman" w:hAnsi="Times New Roman" w:cs="Times New Roman"/>
          <w:bCs/>
          <w:i/>
          <w:iCs/>
          <w:lang w:val="en-GB"/>
        </w:rPr>
        <w:t>Maggio and Others</w:t>
      </w:r>
      <w:r w:rsidR="000F058F" w:rsidRPr="009A7AEB">
        <w:rPr>
          <w:rFonts w:ascii="Times New Roman" w:hAnsi="Times New Roman" w:cs="Times New Roman"/>
          <w:bCs/>
          <w:lang w:val="en-GB"/>
        </w:rPr>
        <w:t>, cited above, § 46) or the uncertain nature of the pecuniary calculation of the applicant</w:t>
      </w:r>
      <w:r w:rsidR="00864D90">
        <w:rPr>
          <w:rFonts w:ascii="Times New Roman" w:hAnsi="Times New Roman" w:cs="Times New Roman"/>
          <w:bCs/>
          <w:lang w:val="en-GB"/>
        </w:rPr>
        <w:t>’</w:t>
      </w:r>
      <w:r w:rsidR="000F058F" w:rsidRPr="009A7AEB">
        <w:rPr>
          <w:rFonts w:ascii="Times New Roman" w:hAnsi="Times New Roman" w:cs="Times New Roman"/>
          <w:bCs/>
          <w:lang w:val="en-GB"/>
        </w:rPr>
        <w:t>s claim under domestic law (see</w:t>
      </w:r>
      <w:r w:rsidR="00C55DDE">
        <w:rPr>
          <w:rFonts w:ascii="Times New Roman" w:hAnsi="Times New Roman" w:cs="Times New Roman"/>
          <w:bCs/>
          <w:lang w:val="en-GB"/>
        </w:rPr>
        <w:t>,</w:t>
      </w:r>
      <w:r w:rsidR="000F058F" w:rsidRPr="009A7AEB">
        <w:rPr>
          <w:rFonts w:ascii="Times New Roman" w:hAnsi="Times New Roman" w:cs="Times New Roman"/>
          <w:bCs/>
          <w:lang w:val="en-GB"/>
        </w:rPr>
        <w:t xml:space="preserve"> in contrast, </w:t>
      </w:r>
      <w:r w:rsidR="000F058F" w:rsidRPr="009A7AEB">
        <w:rPr>
          <w:rFonts w:ascii="Times New Roman" w:hAnsi="Times New Roman" w:cs="Times New Roman"/>
          <w:bCs/>
          <w:i/>
          <w:iCs/>
          <w:lang w:val="en-GB"/>
        </w:rPr>
        <w:t>Arras and Others,</w:t>
      </w:r>
      <w:r w:rsidR="000F058F" w:rsidRPr="009A7AEB">
        <w:rPr>
          <w:rFonts w:ascii="Times New Roman" w:hAnsi="Times New Roman" w:cs="Times New Roman"/>
          <w:bCs/>
          <w:lang w:val="en-GB"/>
        </w:rPr>
        <w:t xml:space="preserve"> cited above, § 86) that can provide a reasonable basis for the Court to call into question that the sums claimed by the applicant companies </w:t>
      </w:r>
      <w:r w:rsidR="00FF462E" w:rsidRPr="009A7AEB">
        <w:rPr>
          <w:rFonts w:ascii="Times New Roman" w:hAnsi="Times New Roman" w:cs="Times New Roman"/>
          <w:bCs/>
          <w:lang w:val="en-GB"/>
        </w:rPr>
        <w:t>in pecuniary damage</w:t>
      </w:r>
      <w:r w:rsidR="000F058F" w:rsidRPr="009A7AEB">
        <w:rPr>
          <w:rFonts w:ascii="Times New Roman" w:hAnsi="Times New Roman" w:cs="Times New Roman"/>
          <w:bCs/>
          <w:lang w:val="en-GB"/>
        </w:rPr>
        <w:t xml:space="preserve"> are based on the sums of the claims submitted to the domestic courts and recognised by them before the impugned law came into effect and was applied in their cases by the Court of Cassation. The Court therefore considers it sufficiently established that the applicant companies have suffered a loss of real opportunities, bearing also in mind the objective and foreseeable character of the legislative provisions regarding the calculation of the concessions and benefits afforded </w:t>
      </w:r>
      <w:r w:rsidR="008B7BEF" w:rsidRPr="009A7AEB">
        <w:rPr>
          <w:rFonts w:ascii="Times New Roman" w:hAnsi="Times New Roman" w:cs="Times New Roman"/>
          <w:bCs/>
          <w:lang w:val="en-GB"/>
        </w:rPr>
        <w:t xml:space="preserve">to </w:t>
      </w:r>
      <w:r w:rsidR="000F058F" w:rsidRPr="009A7AEB">
        <w:rPr>
          <w:rFonts w:ascii="Times New Roman" w:hAnsi="Times New Roman" w:cs="Times New Roman"/>
          <w:bCs/>
          <w:lang w:val="en-GB"/>
        </w:rPr>
        <w:t>the applicant companies prior to the enactment of Law no. 326/03. However, the Court accepts the Government</w:t>
      </w:r>
      <w:r w:rsidR="00864D90">
        <w:rPr>
          <w:rFonts w:ascii="Times New Roman" w:hAnsi="Times New Roman" w:cs="Times New Roman"/>
          <w:bCs/>
          <w:lang w:val="en-GB"/>
        </w:rPr>
        <w:t>’</w:t>
      </w:r>
      <w:r w:rsidR="000F058F" w:rsidRPr="009A7AEB">
        <w:rPr>
          <w:rFonts w:ascii="Times New Roman" w:hAnsi="Times New Roman" w:cs="Times New Roman"/>
          <w:bCs/>
          <w:lang w:val="en-GB"/>
        </w:rPr>
        <w:t xml:space="preserve">s contention that it cannot speculate as to the outcome of the proceedings as the Court has only found a violation of Article 6 </w:t>
      </w:r>
      <w:r w:rsidR="008B7BEF" w:rsidRPr="009A7AEB">
        <w:rPr>
          <w:rFonts w:ascii="Times New Roman" w:hAnsi="Times New Roman" w:cs="Times New Roman"/>
          <w:bCs/>
          <w:lang w:val="en-GB"/>
        </w:rPr>
        <w:t>§</w:t>
      </w:r>
      <w:r w:rsidR="000F058F" w:rsidRPr="009A7AEB">
        <w:rPr>
          <w:rFonts w:ascii="Times New Roman" w:hAnsi="Times New Roman" w:cs="Times New Roman"/>
          <w:bCs/>
          <w:lang w:val="en-GB"/>
        </w:rPr>
        <w:t xml:space="preserve"> 1 on the facts of the present case. Accordingly, the Court </w:t>
      </w:r>
      <w:r w:rsidR="008B7BEF" w:rsidRPr="009A7AEB">
        <w:rPr>
          <w:rFonts w:ascii="Times New Roman" w:hAnsi="Times New Roman" w:cs="Times New Roman"/>
          <w:bCs/>
          <w:lang w:val="en-GB"/>
        </w:rPr>
        <w:t>awards the applicant companies, in pecuniary damage, the following amounts:</w:t>
      </w:r>
    </w:p>
    <w:p w:rsidR="008B7BEF" w:rsidRPr="009A7AEB" w:rsidRDefault="008B7BEF" w:rsidP="009B0194">
      <w:pPr>
        <w:pStyle w:val="ECHRPara"/>
        <w:rPr>
          <w:lang w:val="it-IT"/>
        </w:rPr>
      </w:pPr>
      <w:r w:rsidRPr="009A7AEB">
        <w:rPr>
          <w:lang w:val="it-IT"/>
        </w:rPr>
        <w:t xml:space="preserve">Azienda Agricola Silverfunghi – EUR </w:t>
      </w:r>
      <w:r w:rsidR="0030173E" w:rsidRPr="009A7AEB">
        <w:rPr>
          <w:lang w:val="it-IT"/>
        </w:rPr>
        <w:t>44,900</w:t>
      </w:r>
    </w:p>
    <w:p w:rsidR="008B7BEF" w:rsidRPr="009A7AEB" w:rsidRDefault="008B7BEF" w:rsidP="009B0194">
      <w:pPr>
        <w:pStyle w:val="ECHRPara"/>
        <w:rPr>
          <w:lang w:val="it-IT"/>
        </w:rPr>
      </w:pPr>
      <w:r w:rsidRPr="009A7AEB">
        <w:rPr>
          <w:lang w:val="it-IT"/>
        </w:rPr>
        <w:t>Scarpellini S.r.l.– EUR</w:t>
      </w:r>
      <w:r w:rsidR="0030173E" w:rsidRPr="009A7AEB">
        <w:rPr>
          <w:lang w:val="it-IT"/>
        </w:rPr>
        <w:t xml:space="preserve"> 106,900</w:t>
      </w:r>
    </w:p>
    <w:p w:rsidR="008B7BEF" w:rsidRPr="009A7AEB" w:rsidRDefault="008B7BEF" w:rsidP="009B0194">
      <w:pPr>
        <w:pStyle w:val="ECHRPara"/>
        <w:rPr>
          <w:bCs/>
          <w:szCs w:val="24"/>
          <w:lang w:val="it-IT"/>
        </w:rPr>
      </w:pPr>
      <w:r w:rsidRPr="009A7AEB">
        <w:rPr>
          <w:bCs/>
          <w:szCs w:val="24"/>
          <w:lang w:val="it-IT"/>
        </w:rPr>
        <w:t>S.A.P. Pietrafitta S.r.l. –</w:t>
      </w:r>
      <w:r w:rsidRPr="009A7AEB">
        <w:rPr>
          <w:lang w:val="it-IT"/>
        </w:rPr>
        <w:t xml:space="preserve"> EUR </w:t>
      </w:r>
      <w:r w:rsidR="0030173E" w:rsidRPr="009A7AEB">
        <w:rPr>
          <w:lang w:val="it-IT"/>
        </w:rPr>
        <w:t>54,400</w:t>
      </w:r>
    </w:p>
    <w:p w:rsidR="000F058F" w:rsidRPr="009A7AEB" w:rsidRDefault="008B7BEF" w:rsidP="009B0194">
      <w:pPr>
        <w:pStyle w:val="ECHRPara"/>
        <w:rPr>
          <w:lang w:val="it-IT"/>
        </w:rPr>
      </w:pPr>
      <w:r w:rsidRPr="009A7AEB">
        <w:rPr>
          <w:bCs/>
          <w:szCs w:val="24"/>
          <w:lang w:val="it-IT"/>
        </w:rPr>
        <w:t xml:space="preserve">Floricultura Zanchi Di Zanchi – </w:t>
      </w:r>
      <w:r w:rsidRPr="009A7AEB">
        <w:rPr>
          <w:lang w:val="it-IT"/>
        </w:rPr>
        <w:t>EUR</w:t>
      </w:r>
      <w:r w:rsidRPr="009A7AEB">
        <w:rPr>
          <w:bCs/>
          <w:szCs w:val="24"/>
          <w:lang w:val="it-IT"/>
        </w:rPr>
        <w:t xml:space="preserve"> </w:t>
      </w:r>
      <w:r w:rsidR="0030173E" w:rsidRPr="009A7AEB">
        <w:rPr>
          <w:bCs/>
          <w:szCs w:val="24"/>
          <w:lang w:val="it-IT"/>
        </w:rPr>
        <w:t>42,200</w:t>
      </w:r>
    </w:p>
    <w:p w:rsidR="007756F8" w:rsidRPr="009A7AEB" w:rsidRDefault="008B7BEF" w:rsidP="009B0194">
      <w:pPr>
        <w:pStyle w:val="ECHRPara"/>
        <w:rPr>
          <w:lang w:val="en-GB" w:eastAsia="en-US"/>
        </w:rPr>
      </w:pPr>
      <w:r w:rsidRPr="009A7AEB">
        <w:rPr>
          <w:bCs/>
          <w:lang w:val="en-GB"/>
        </w:rPr>
        <w:t>Nevertheless,</w:t>
      </w:r>
      <w:r w:rsidR="0006160F" w:rsidRPr="009A7AEB">
        <w:rPr>
          <w:bCs/>
          <w:lang w:val="en-GB"/>
        </w:rPr>
        <w:t xml:space="preserve"> the Court notes that by execution of the first-instance judgment in favour of the applicant companies, the INPS paid back to the applicant companies the extra monies they had collected. Subsequently, on specified dates for each applicant company, following the Court of Cassation</w:t>
      </w:r>
      <w:r w:rsidR="00864D90">
        <w:rPr>
          <w:bCs/>
          <w:lang w:val="en-GB"/>
        </w:rPr>
        <w:t>’</w:t>
      </w:r>
      <w:r w:rsidR="0006160F" w:rsidRPr="009A7AEB">
        <w:rPr>
          <w:bCs/>
          <w:lang w:val="en-GB"/>
        </w:rPr>
        <w:t>s judgments reversing that finding, the INPS initiated proceedings for the recovery of those sums. By the applicant</w:t>
      </w:r>
      <w:r w:rsidR="00317A3E">
        <w:rPr>
          <w:bCs/>
          <w:lang w:val="en-GB"/>
        </w:rPr>
        <w:t xml:space="preserve"> companie</w:t>
      </w:r>
      <w:r w:rsidR="0006160F" w:rsidRPr="009A7AEB">
        <w:rPr>
          <w:bCs/>
          <w:lang w:val="en-GB"/>
        </w:rPr>
        <w:t>s</w:t>
      </w:r>
      <w:r w:rsidR="00864D90">
        <w:rPr>
          <w:bCs/>
          <w:lang w:val="en-GB"/>
        </w:rPr>
        <w:t>’</w:t>
      </w:r>
      <w:r w:rsidR="0006160F" w:rsidRPr="009A7AEB">
        <w:rPr>
          <w:bCs/>
          <w:lang w:val="en-GB"/>
        </w:rPr>
        <w:t xml:space="preserve"> admission those sums have not been entirely paid back and thus the sums not yet returned must be deducted from </w:t>
      </w:r>
      <w:r w:rsidR="0059428D" w:rsidRPr="009A7AEB">
        <w:rPr>
          <w:bCs/>
          <w:lang w:val="en-GB"/>
        </w:rPr>
        <w:t>the award under this head</w:t>
      </w:r>
      <w:r w:rsidR="0006160F" w:rsidRPr="009A7AEB">
        <w:rPr>
          <w:bCs/>
          <w:lang w:val="en-GB"/>
        </w:rPr>
        <w:t>.</w:t>
      </w:r>
    </w:p>
    <w:p w:rsidR="00C7494C" w:rsidRPr="00C7494C" w:rsidRDefault="00C7494C" w:rsidP="009B0194">
      <w:pPr>
        <w:pStyle w:val="ECHRPara"/>
        <w:rPr>
          <w:i/>
          <w:lang w:val="en-GB"/>
        </w:rPr>
      </w:pPr>
      <w:r>
        <w:rPr>
          <w:lang w:val="en-GB" w:eastAsia="en-US"/>
        </w:rPr>
        <w:fldChar w:fldCharType="begin"/>
      </w:r>
      <w:r>
        <w:rPr>
          <w:lang w:val="en-GB" w:eastAsia="en-US"/>
        </w:rPr>
        <w:instrText xml:space="preserve"> SEQ level0 \*arabic </w:instrText>
      </w:r>
      <w:r>
        <w:rPr>
          <w:lang w:val="en-GB" w:eastAsia="en-US"/>
        </w:rPr>
        <w:fldChar w:fldCharType="separate"/>
      </w:r>
      <w:r w:rsidR="00D471CA">
        <w:rPr>
          <w:noProof/>
          <w:lang w:val="en-GB" w:eastAsia="en-US"/>
        </w:rPr>
        <w:t>114</w:t>
      </w:r>
      <w:r>
        <w:rPr>
          <w:lang w:val="en-GB" w:eastAsia="en-US"/>
        </w:rPr>
        <w:fldChar w:fldCharType="end"/>
      </w:r>
      <w:r>
        <w:rPr>
          <w:lang w:val="en-GB" w:eastAsia="en-US"/>
        </w:rPr>
        <w:t>.  </w:t>
      </w:r>
      <w:r>
        <w:rPr>
          <w:lang w:val="en-GB"/>
        </w:rPr>
        <w:t>To the above amounts</w:t>
      </w:r>
      <w:r w:rsidRPr="00C7494C">
        <w:rPr>
          <w:lang w:val="en-GB"/>
        </w:rPr>
        <w:t xml:space="preserve"> </w:t>
      </w:r>
      <w:r w:rsidR="00523D3D" w:rsidRPr="00C7494C">
        <w:rPr>
          <w:lang w:val="en-GB"/>
        </w:rPr>
        <w:t>must be added</w:t>
      </w:r>
      <w:r w:rsidR="00523D3D">
        <w:rPr>
          <w:lang w:val="en-GB"/>
        </w:rPr>
        <w:t xml:space="preserve"> an award in respect of </w:t>
      </w:r>
      <w:r w:rsidRPr="00C7494C">
        <w:rPr>
          <w:lang w:val="en-GB"/>
        </w:rPr>
        <w:t>non-pecuniary damage, which the finding of a violation in this judgment does not suffice to remedy.</w:t>
      </w:r>
      <w:r>
        <w:rPr>
          <w:lang w:val="en-GB"/>
        </w:rPr>
        <w:t xml:space="preserve"> The Court therefore awards </w:t>
      </w:r>
      <w:r>
        <w:rPr>
          <w:bCs/>
          <w:szCs w:val="24"/>
          <w:lang w:val="en-GB"/>
        </w:rPr>
        <w:t>EUR</w:t>
      </w:r>
      <w:r w:rsidRPr="00CD0699">
        <w:rPr>
          <w:bCs/>
          <w:szCs w:val="24"/>
          <w:lang w:val="en-GB"/>
        </w:rPr>
        <w:t xml:space="preserve"> 1,000 </w:t>
      </w:r>
      <w:r>
        <w:rPr>
          <w:bCs/>
          <w:szCs w:val="24"/>
          <w:lang w:val="en-GB"/>
        </w:rPr>
        <w:t xml:space="preserve">to </w:t>
      </w:r>
      <w:r w:rsidRPr="00CD0699">
        <w:rPr>
          <w:bCs/>
          <w:szCs w:val="24"/>
          <w:lang w:val="en-GB"/>
        </w:rPr>
        <w:t>each</w:t>
      </w:r>
      <w:r>
        <w:rPr>
          <w:bCs/>
          <w:szCs w:val="24"/>
          <w:lang w:val="en-GB"/>
        </w:rPr>
        <w:t xml:space="preserve"> applicant company.</w:t>
      </w:r>
    </w:p>
    <w:p w:rsidR="00F71A6A" w:rsidRPr="00864D90" w:rsidRDefault="00F71A6A" w:rsidP="00553AB2">
      <w:pPr>
        <w:pStyle w:val="ECHRHeading2"/>
        <w:rPr>
          <w:lang w:val="en-US"/>
        </w:rPr>
      </w:pPr>
      <w:r w:rsidRPr="00864D90">
        <w:rPr>
          <w:lang w:val="en-US"/>
        </w:rPr>
        <w:t>B.  Costs and expenses</w:t>
      </w:r>
    </w:p>
    <w:p w:rsidR="00632A2E" w:rsidRDefault="00634F53" w:rsidP="009B0194">
      <w:pPr>
        <w:pStyle w:val="ECHRPara"/>
        <w:rPr>
          <w:lang w:val="en-GB"/>
        </w:rPr>
      </w:pPr>
      <w:r>
        <w:rPr>
          <w:lang w:val="en-GB"/>
        </w:rPr>
        <w:fldChar w:fldCharType="begin"/>
      </w:r>
      <w:r>
        <w:rPr>
          <w:lang w:val="en-GB"/>
        </w:rPr>
        <w:instrText xml:space="preserve"> SEQ level0 \*arabic </w:instrText>
      </w:r>
      <w:r>
        <w:rPr>
          <w:lang w:val="en-GB"/>
        </w:rPr>
        <w:fldChar w:fldCharType="separate"/>
      </w:r>
      <w:r w:rsidR="00D471CA">
        <w:rPr>
          <w:noProof/>
          <w:lang w:val="en-GB"/>
        </w:rPr>
        <w:t>115</w:t>
      </w:r>
      <w:r>
        <w:rPr>
          <w:lang w:val="en-GB"/>
        </w:rPr>
        <w:fldChar w:fldCharType="end"/>
      </w:r>
      <w:r w:rsidR="00F71A6A" w:rsidRPr="00B46173">
        <w:rPr>
          <w:lang w:val="en-GB"/>
        </w:rPr>
        <w:t xml:space="preserve">.  The </w:t>
      </w:r>
      <w:r w:rsidR="0005522C" w:rsidRPr="00B46173">
        <w:rPr>
          <w:lang w:val="en-GB"/>
        </w:rPr>
        <w:t>applicant</w:t>
      </w:r>
      <w:r w:rsidR="00064F2E">
        <w:rPr>
          <w:lang w:val="en-GB"/>
        </w:rPr>
        <w:t xml:space="preserve"> companie</w:t>
      </w:r>
      <w:r w:rsidRPr="00B46173">
        <w:rPr>
          <w:noProof/>
          <w:lang w:val="en-GB"/>
        </w:rPr>
        <w:t>s</w:t>
      </w:r>
      <w:r w:rsidR="00F71A6A" w:rsidRPr="00B46173">
        <w:rPr>
          <w:lang w:val="en-GB"/>
        </w:rPr>
        <w:t xml:space="preserve"> also claimed </w:t>
      </w:r>
      <w:r w:rsidR="00CD0699">
        <w:rPr>
          <w:lang w:val="en-GB"/>
        </w:rPr>
        <w:t>the following sums</w:t>
      </w:r>
      <w:r w:rsidR="00F71A6A" w:rsidRPr="00B46173">
        <w:rPr>
          <w:lang w:val="en-GB"/>
        </w:rPr>
        <w:t xml:space="preserve"> for the costs and expenses incurred before the domestic courts</w:t>
      </w:r>
      <w:r w:rsidR="00CD0699">
        <w:rPr>
          <w:lang w:val="en-GB"/>
        </w:rPr>
        <w:t>.</w:t>
      </w:r>
    </w:p>
    <w:p w:rsidR="00CD0699" w:rsidRPr="00174DAE" w:rsidRDefault="00CD0699" w:rsidP="009B0194">
      <w:pPr>
        <w:pStyle w:val="ECHRPara"/>
        <w:rPr>
          <w:lang w:val="it-IT"/>
        </w:rPr>
      </w:pPr>
      <w:r w:rsidRPr="00174DAE">
        <w:rPr>
          <w:lang w:val="it-IT"/>
        </w:rPr>
        <w:t xml:space="preserve">Azienda Agricola Silverfunghi – </w:t>
      </w:r>
      <w:r>
        <w:rPr>
          <w:lang w:val="it-IT"/>
        </w:rPr>
        <w:t>EUR 8,977</w:t>
      </w:r>
    </w:p>
    <w:p w:rsidR="00CD0699" w:rsidRDefault="00CD0699" w:rsidP="009B0194">
      <w:pPr>
        <w:pStyle w:val="ECHRPara"/>
        <w:rPr>
          <w:lang w:val="it-IT"/>
        </w:rPr>
      </w:pPr>
      <w:r w:rsidRPr="00174DAE">
        <w:rPr>
          <w:lang w:val="it-IT"/>
        </w:rPr>
        <w:t>Sca</w:t>
      </w:r>
      <w:r>
        <w:rPr>
          <w:lang w:val="it-IT"/>
        </w:rPr>
        <w:t>rpellini S.</w:t>
      </w:r>
      <w:r w:rsidR="00606E4B">
        <w:rPr>
          <w:lang w:val="it-IT"/>
        </w:rPr>
        <w:t>r</w:t>
      </w:r>
      <w:r w:rsidRPr="00174DAE">
        <w:rPr>
          <w:lang w:val="it-IT"/>
        </w:rPr>
        <w:t>.</w:t>
      </w:r>
      <w:r w:rsidR="00606E4B">
        <w:rPr>
          <w:lang w:val="it-IT"/>
        </w:rPr>
        <w:t>l</w:t>
      </w:r>
      <w:r>
        <w:rPr>
          <w:lang w:val="it-IT"/>
        </w:rPr>
        <w:t>.- EUR 19,278</w:t>
      </w:r>
    </w:p>
    <w:p w:rsidR="00CD0699" w:rsidRDefault="00CD0699" w:rsidP="009B0194">
      <w:pPr>
        <w:pStyle w:val="ECHRPara"/>
        <w:rPr>
          <w:bCs/>
          <w:szCs w:val="24"/>
          <w:lang w:val="it-IT"/>
        </w:rPr>
      </w:pPr>
      <w:r w:rsidRPr="00174DAE">
        <w:rPr>
          <w:bCs/>
          <w:szCs w:val="24"/>
          <w:lang w:val="it-IT"/>
        </w:rPr>
        <w:t>S.A.P. Pietrafitta S.</w:t>
      </w:r>
      <w:r w:rsidR="00606E4B">
        <w:rPr>
          <w:bCs/>
          <w:szCs w:val="24"/>
          <w:lang w:val="it-IT"/>
        </w:rPr>
        <w:t>r</w:t>
      </w:r>
      <w:r w:rsidRPr="00174DAE">
        <w:rPr>
          <w:bCs/>
          <w:szCs w:val="24"/>
          <w:lang w:val="it-IT"/>
        </w:rPr>
        <w:t>.</w:t>
      </w:r>
      <w:r w:rsidR="00606E4B">
        <w:rPr>
          <w:bCs/>
          <w:szCs w:val="24"/>
          <w:lang w:val="it-IT"/>
        </w:rPr>
        <w:t>l</w:t>
      </w:r>
      <w:r w:rsidRPr="00174DAE">
        <w:rPr>
          <w:bCs/>
          <w:szCs w:val="24"/>
          <w:lang w:val="it-IT"/>
        </w:rPr>
        <w:t xml:space="preserve">. </w:t>
      </w:r>
      <w:r>
        <w:rPr>
          <w:bCs/>
          <w:szCs w:val="24"/>
          <w:lang w:val="it-IT"/>
        </w:rPr>
        <w:t>–</w:t>
      </w:r>
      <w:r w:rsidRPr="00CD0699">
        <w:rPr>
          <w:lang w:val="it-IT"/>
        </w:rPr>
        <w:t xml:space="preserve"> </w:t>
      </w:r>
      <w:r>
        <w:rPr>
          <w:lang w:val="it-IT"/>
        </w:rPr>
        <w:t>EUR 14,206</w:t>
      </w:r>
    </w:p>
    <w:p w:rsidR="00CD0699" w:rsidRPr="00CD0699" w:rsidRDefault="00CD0699" w:rsidP="009B0194">
      <w:pPr>
        <w:pStyle w:val="ECHRPara"/>
        <w:rPr>
          <w:bCs/>
          <w:szCs w:val="24"/>
          <w:lang w:val="it-IT"/>
        </w:rPr>
      </w:pPr>
      <w:r w:rsidRPr="00CD0699">
        <w:rPr>
          <w:bCs/>
          <w:szCs w:val="24"/>
          <w:lang w:val="it-IT"/>
        </w:rPr>
        <w:t>Floricultura Zanchi Di Zanchi –</w:t>
      </w:r>
      <w:r w:rsidRPr="00CD0699">
        <w:rPr>
          <w:lang w:val="it-IT"/>
        </w:rPr>
        <w:t xml:space="preserve"> </w:t>
      </w:r>
      <w:r>
        <w:rPr>
          <w:lang w:val="it-IT"/>
        </w:rPr>
        <w:t>EUR 20,648</w:t>
      </w:r>
    </w:p>
    <w:p w:rsidR="00F71A6A" w:rsidRPr="00B46173" w:rsidRDefault="00CD0699" w:rsidP="009B0194">
      <w:pPr>
        <w:pStyle w:val="ECHRPara"/>
        <w:rPr>
          <w:lang w:val="en-GB"/>
        </w:rPr>
      </w:pPr>
      <w:r>
        <w:rPr>
          <w:lang w:val="en-GB"/>
        </w:rPr>
        <w:t>They further claimed</w:t>
      </w:r>
      <w:r w:rsidR="00F71A6A" w:rsidRPr="00B46173">
        <w:rPr>
          <w:lang w:val="en-GB"/>
        </w:rPr>
        <w:t xml:space="preserve"> EUR </w:t>
      </w:r>
      <w:r>
        <w:rPr>
          <w:lang w:val="en-GB"/>
        </w:rPr>
        <w:t xml:space="preserve">3,300 </w:t>
      </w:r>
      <w:r w:rsidR="00B62F3B">
        <w:rPr>
          <w:lang w:val="en-GB"/>
        </w:rPr>
        <w:t>(3,000 in fees and 300 in expenses)</w:t>
      </w:r>
      <w:r w:rsidR="00316EEC">
        <w:rPr>
          <w:lang w:val="en-GB"/>
        </w:rPr>
        <w:t>,</w:t>
      </w:r>
      <w:r w:rsidR="00B62F3B">
        <w:rPr>
          <w:lang w:val="en-GB"/>
        </w:rPr>
        <w:t xml:space="preserve"> </w:t>
      </w:r>
      <w:r>
        <w:rPr>
          <w:lang w:val="en-GB"/>
        </w:rPr>
        <w:t>plus Value Added Tax and Lawyers</w:t>
      </w:r>
      <w:r w:rsidR="00864D90">
        <w:rPr>
          <w:lang w:val="en-GB"/>
        </w:rPr>
        <w:t>’</w:t>
      </w:r>
      <w:r>
        <w:rPr>
          <w:lang w:val="en-GB"/>
        </w:rPr>
        <w:t xml:space="preserve"> National Insurance (CPA), each</w:t>
      </w:r>
      <w:r w:rsidR="00F71A6A" w:rsidRPr="00B46173">
        <w:rPr>
          <w:lang w:val="en-GB"/>
        </w:rPr>
        <w:t xml:space="preserve"> for </w:t>
      </w:r>
      <w:r w:rsidRPr="00B46173">
        <w:rPr>
          <w:lang w:val="en-GB"/>
        </w:rPr>
        <w:t>costs and expenses</w:t>
      </w:r>
      <w:r w:rsidR="00F71A6A" w:rsidRPr="00B46173">
        <w:rPr>
          <w:lang w:val="en-GB"/>
        </w:rPr>
        <w:t xml:space="preserve"> incurred before the Court.</w:t>
      </w:r>
    </w:p>
    <w:p w:rsidR="00F71A6A" w:rsidRPr="00B46173" w:rsidRDefault="00634F53" w:rsidP="009B0194">
      <w:pPr>
        <w:pStyle w:val="ECHRPara"/>
        <w:rPr>
          <w:lang w:val="en-GB"/>
        </w:rPr>
      </w:pPr>
      <w:r>
        <w:rPr>
          <w:lang w:val="en-GB"/>
        </w:rPr>
        <w:fldChar w:fldCharType="begin"/>
      </w:r>
      <w:r>
        <w:rPr>
          <w:lang w:val="en-GB"/>
        </w:rPr>
        <w:instrText xml:space="preserve"> SEQ level0 \*arabic </w:instrText>
      </w:r>
      <w:r>
        <w:rPr>
          <w:lang w:val="en-GB"/>
        </w:rPr>
        <w:fldChar w:fldCharType="separate"/>
      </w:r>
      <w:r w:rsidR="00D471CA">
        <w:rPr>
          <w:noProof/>
          <w:lang w:val="en-GB"/>
        </w:rPr>
        <w:t>116</w:t>
      </w:r>
      <w:r>
        <w:rPr>
          <w:lang w:val="en-GB"/>
        </w:rPr>
        <w:fldChar w:fldCharType="end"/>
      </w:r>
      <w:r w:rsidR="00F71A6A" w:rsidRPr="00B46173">
        <w:rPr>
          <w:lang w:val="en-GB"/>
        </w:rPr>
        <w:t>.  The Government</w:t>
      </w:r>
      <w:r w:rsidR="00BD6A83">
        <w:rPr>
          <w:lang w:val="en-GB"/>
        </w:rPr>
        <w:t xml:space="preserve"> made no comment in this respect.</w:t>
      </w:r>
    </w:p>
    <w:p w:rsidR="00C7494C" w:rsidRDefault="00634F53" w:rsidP="009B0194">
      <w:pPr>
        <w:pStyle w:val="ECHRPara"/>
        <w:rPr>
          <w:lang w:val="en-GB"/>
        </w:rPr>
      </w:pPr>
      <w:r>
        <w:rPr>
          <w:lang w:val="en-GB"/>
        </w:rPr>
        <w:fldChar w:fldCharType="begin"/>
      </w:r>
      <w:r>
        <w:rPr>
          <w:lang w:val="en-GB"/>
        </w:rPr>
        <w:instrText xml:space="preserve"> SEQ level0 \*arabic </w:instrText>
      </w:r>
      <w:r>
        <w:rPr>
          <w:lang w:val="en-GB"/>
        </w:rPr>
        <w:fldChar w:fldCharType="separate"/>
      </w:r>
      <w:r w:rsidR="00D471CA">
        <w:rPr>
          <w:noProof/>
          <w:lang w:val="en-GB"/>
        </w:rPr>
        <w:t>117</w:t>
      </w:r>
      <w:r>
        <w:rPr>
          <w:lang w:val="en-GB"/>
        </w:rPr>
        <w:fldChar w:fldCharType="end"/>
      </w:r>
      <w:r w:rsidR="00F71A6A" w:rsidRPr="00B46173">
        <w:rPr>
          <w:lang w:val="en-GB"/>
        </w:rPr>
        <w:t>.  </w:t>
      </w:r>
      <w:r w:rsidRPr="00B46173">
        <w:rPr>
          <w:noProof/>
          <w:lang w:val="en-GB"/>
        </w:rPr>
        <w:t>According to the Court</w:t>
      </w:r>
      <w:r w:rsidR="00864D90">
        <w:rPr>
          <w:noProof/>
          <w:lang w:val="en-GB"/>
        </w:rPr>
        <w:t>’</w:t>
      </w:r>
      <w:r w:rsidRPr="00B46173">
        <w:rPr>
          <w:noProof/>
          <w:lang w:val="en-GB"/>
        </w:rPr>
        <w:t>s case-law, an applicant is entitled to the reimbursement of costs and expenses only in so far as it has been shown that these have been actually and necessarily incurred and are reasonable as to quantum. In the present case, regard</w:t>
      </w:r>
      <w:r w:rsidR="00F73D18" w:rsidRPr="00B46173">
        <w:rPr>
          <w:lang w:val="en-GB"/>
        </w:rPr>
        <w:t xml:space="preserve"> </w:t>
      </w:r>
      <w:r w:rsidR="005F7A10" w:rsidRPr="00B46173">
        <w:rPr>
          <w:lang w:val="en-GB"/>
        </w:rPr>
        <w:t xml:space="preserve">being had to the documents in its possession and </w:t>
      </w:r>
      <w:r w:rsidRPr="00B46173">
        <w:rPr>
          <w:noProof/>
          <w:lang w:val="en-GB"/>
        </w:rPr>
        <w:t>the above criteria</w:t>
      </w:r>
      <w:r w:rsidR="00F73D18" w:rsidRPr="00B46173">
        <w:rPr>
          <w:lang w:val="en-GB"/>
        </w:rPr>
        <w:t>,</w:t>
      </w:r>
      <w:r w:rsidR="00C7494C" w:rsidRPr="00C7494C">
        <w:rPr>
          <w:lang w:val="en-GB"/>
        </w:rPr>
        <w:t xml:space="preserve"> together with the fact that the Court </w:t>
      </w:r>
      <w:r w:rsidR="00B27720">
        <w:rPr>
          <w:lang w:val="en-GB"/>
        </w:rPr>
        <w:t xml:space="preserve">has </w:t>
      </w:r>
      <w:r w:rsidR="00C7494C" w:rsidRPr="00C7494C">
        <w:rPr>
          <w:lang w:val="en-GB"/>
        </w:rPr>
        <w:t xml:space="preserve">only found a violation in respect of Article 6, </w:t>
      </w:r>
      <w:r w:rsidR="00F71A6A" w:rsidRPr="00B46173">
        <w:rPr>
          <w:lang w:val="en-GB"/>
        </w:rPr>
        <w:t xml:space="preserve">the Court considers it reasonable to award the </w:t>
      </w:r>
      <w:r w:rsidR="00C7494C">
        <w:rPr>
          <w:lang w:val="en-GB"/>
        </w:rPr>
        <w:t xml:space="preserve">following sums </w:t>
      </w:r>
      <w:r w:rsidR="00F71A6A" w:rsidRPr="00B46173">
        <w:rPr>
          <w:lang w:val="en-GB"/>
        </w:rPr>
        <w:t>covering costs under all heads</w:t>
      </w:r>
      <w:r w:rsidR="00C7494C">
        <w:rPr>
          <w:lang w:val="en-GB"/>
        </w:rPr>
        <w:t>:</w:t>
      </w:r>
    </w:p>
    <w:p w:rsidR="00C7494C" w:rsidRPr="00174DAE" w:rsidRDefault="00C7494C" w:rsidP="009B0194">
      <w:pPr>
        <w:pStyle w:val="ECHRPara"/>
        <w:rPr>
          <w:lang w:val="it-IT"/>
        </w:rPr>
      </w:pPr>
      <w:r w:rsidRPr="00174DAE">
        <w:rPr>
          <w:lang w:val="it-IT"/>
        </w:rPr>
        <w:t xml:space="preserve">Azienda Agricola Silverfunghi – </w:t>
      </w:r>
      <w:r>
        <w:rPr>
          <w:lang w:val="it-IT"/>
        </w:rPr>
        <w:t xml:space="preserve">EUR </w:t>
      </w:r>
      <w:r w:rsidR="00CC5510">
        <w:rPr>
          <w:lang w:val="it-IT"/>
        </w:rPr>
        <w:t>10,000</w:t>
      </w:r>
    </w:p>
    <w:p w:rsidR="00C7494C" w:rsidRDefault="00C7494C" w:rsidP="009B0194">
      <w:pPr>
        <w:pStyle w:val="ECHRPara"/>
        <w:rPr>
          <w:lang w:val="it-IT"/>
        </w:rPr>
      </w:pPr>
      <w:r w:rsidRPr="00174DAE">
        <w:rPr>
          <w:lang w:val="it-IT"/>
        </w:rPr>
        <w:t>Sca</w:t>
      </w:r>
      <w:r>
        <w:rPr>
          <w:lang w:val="it-IT"/>
        </w:rPr>
        <w:t>rpellini S.</w:t>
      </w:r>
      <w:r w:rsidR="00606E4B">
        <w:rPr>
          <w:lang w:val="it-IT"/>
        </w:rPr>
        <w:t>r</w:t>
      </w:r>
      <w:r w:rsidRPr="00174DAE">
        <w:rPr>
          <w:lang w:val="it-IT"/>
        </w:rPr>
        <w:t>.</w:t>
      </w:r>
      <w:r w:rsidR="00606E4B">
        <w:rPr>
          <w:lang w:val="it-IT"/>
        </w:rPr>
        <w:t>l</w:t>
      </w:r>
      <w:r>
        <w:rPr>
          <w:lang w:val="it-IT"/>
        </w:rPr>
        <w:t>.</w:t>
      </w:r>
      <w:r w:rsidR="00316EEC">
        <w:rPr>
          <w:lang w:val="it-IT"/>
        </w:rPr>
        <w:t>–</w:t>
      </w:r>
      <w:r>
        <w:rPr>
          <w:lang w:val="it-IT"/>
        </w:rPr>
        <w:t xml:space="preserve"> EUR </w:t>
      </w:r>
      <w:r w:rsidR="00CC5510">
        <w:rPr>
          <w:lang w:val="it-IT"/>
        </w:rPr>
        <w:t>20,300</w:t>
      </w:r>
    </w:p>
    <w:p w:rsidR="00C7494C" w:rsidRDefault="00C7494C" w:rsidP="009B0194">
      <w:pPr>
        <w:pStyle w:val="ECHRPara"/>
        <w:rPr>
          <w:bCs/>
          <w:szCs w:val="24"/>
          <w:lang w:val="it-IT"/>
        </w:rPr>
      </w:pPr>
      <w:r w:rsidRPr="00174DAE">
        <w:rPr>
          <w:bCs/>
          <w:szCs w:val="24"/>
          <w:lang w:val="it-IT"/>
        </w:rPr>
        <w:t>S.A.P. Pietrafitta S.</w:t>
      </w:r>
      <w:r w:rsidR="00606E4B">
        <w:rPr>
          <w:bCs/>
          <w:szCs w:val="24"/>
          <w:lang w:val="it-IT"/>
        </w:rPr>
        <w:t>r</w:t>
      </w:r>
      <w:r w:rsidRPr="00174DAE">
        <w:rPr>
          <w:bCs/>
          <w:szCs w:val="24"/>
          <w:lang w:val="it-IT"/>
        </w:rPr>
        <w:t>.</w:t>
      </w:r>
      <w:r w:rsidR="00606E4B">
        <w:rPr>
          <w:bCs/>
          <w:szCs w:val="24"/>
          <w:lang w:val="it-IT"/>
        </w:rPr>
        <w:t>l</w:t>
      </w:r>
      <w:r w:rsidRPr="00174DAE">
        <w:rPr>
          <w:bCs/>
          <w:szCs w:val="24"/>
          <w:lang w:val="it-IT"/>
        </w:rPr>
        <w:t xml:space="preserve">. </w:t>
      </w:r>
      <w:r>
        <w:rPr>
          <w:bCs/>
          <w:szCs w:val="24"/>
          <w:lang w:val="it-IT"/>
        </w:rPr>
        <w:t>–</w:t>
      </w:r>
      <w:r w:rsidRPr="00CD0699">
        <w:rPr>
          <w:lang w:val="it-IT"/>
        </w:rPr>
        <w:t xml:space="preserve"> </w:t>
      </w:r>
      <w:r>
        <w:rPr>
          <w:lang w:val="it-IT"/>
        </w:rPr>
        <w:t xml:space="preserve">EUR </w:t>
      </w:r>
      <w:r w:rsidR="00CC5510">
        <w:rPr>
          <w:lang w:val="it-IT"/>
        </w:rPr>
        <w:t>15,200</w:t>
      </w:r>
    </w:p>
    <w:p w:rsidR="00C7494C" w:rsidRPr="009A0C52" w:rsidRDefault="00C7494C" w:rsidP="009B0194">
      <w:pPr>
        <w:pStyle w:val="ECHRPara"/>
        <w:rPr>
          <w:bCs/>
          <w:szCs w:val="24"/>
          <w:lang w:val="it-IT"/>
        </w:rPr>
      </w:pPr>
      <w:r w:rsidRPr="00CD0699">
        <w:rPr>
          <w:bCs/>
          <w:szCs w:val="24"/>
          <w:lang w:val="it-IT"/>
        </w:rPr>
        <w:t>Floricultura Zanchi Di Zanchi –</w:t>
      </w:r>
      <w:r w:rsidRPr="00CD0699">
        <w:rPr>
          <w:lang w:val="it-IT"/>
        </w:rPr>
        <w:t xml:space="preserve"> </w:t>
      </w:r>
      <w:r>
        <w:rPr>
          <w:lang w:val="it-IT"/>
        </w:rPr>
        <w:t xml:space="preserve">EUR </w:t>
      </w:r>
      <w:r w:rsidR="00CC5510">
        <w:rPr>
          <w:lang w:val="it-IT"/>
        </w:rPr>
        <w:t>21,700</w:t>
      </w:r>
    </w:p>
    <w:p w:rsidR="00F71A6A" w:rsidRPr="00864D90" w:rsidRDefault="00F71A6A" w:rsidP="00553AB2">
      <w:pPr>
        <w:pStyle w:val="ECHRHeading2"/>
        <w:rPr>
          <w:lang w:val="en-US"/>
        </w:rPr>
      </w:pPr>
      <w:r w:rsidRPr="00864D90">
        <w:rPr>
          <w:lang w:val="en-US"/>
        </w:rPr>
        <w:t>C.  Default interest</w:t>
      </w:r>
    </w:p>
    <w:p w:rsidR="00F71A6A" w:rsidRPr="00B46173" w:rsidRDefault="00634F53" w:rsidP="009B0194">
      <w:pPr>
        <w:pStyle w:val="ECHRPara"/>
        <w:rPr>
          <w:lang w:val="en-GB"/>
        </w:rPr>
      </w:pPr>
      <w:r>
        <w:rPr>
          <w:lang w:val="en-GB"/>
        </w:rPr>
        <w:fldChar w:fldCharType="begin"/>
      </w:r>
      <w:r>
        <w:rPr>
          <w:lang w:val="en-GB"/>
        </w:rPr>
        <w:instrText xml:space="preserve"> SEQ level0 \*arabic </w:instrText>
      </w:r>
      <w:r>
        <w:rPr>
          <w:lang w:val="en-GB"/>
        </w:rPr>
        <w:fldChar w:fldCharType="separate"/>
      </w:r>
      <w:r w:rsidR="00D471CA">
        <w:rPr>
          <w:noProof/>
          <w:lang w:val="en-GB"/>
        </w:rPr>
        <w:t>118</w:t>
      </w:r>
      <w:r>
        <w:rPr>
          <w:lang w:val="en-GB"/>
        </w:rPr>
        <w:fldChar w:fldCharType="end"/>
      </w:r>
      <w:r w:rsidR="00F71A6A" w:rsidRPr="00B46173">
        <w:rPr>
          <w:lang w:val="en-GB"/>
        </w:rPr>
        <w:t xml:space="preserve">.  The Court considers it appropriate that the default interest </w:t>
      </w:r>
      <w:r w:rsidR="0034580F" w:rsidRPr="00B46173">
        <w:rPr>
          <w:lang w:val="en-GB"/>
        </w:rPr>
        <w:t xml:space="preserve">rate </w:t>
      </w:r>
      <w:r w:rsidR="00F71A6A" w:rsidRPr="00B46173">
        <w:rPr>
          <w:lang w:val="en-GB"/>
        </w:rPr>
        <w:t>should be based on the marginal lending rate of the European Central Bank, to which should be added three percentage points.</w:t>
      </w:r>
    </w:p>
    <w:p w:rsidR="00F71A6A" w:rsidRPr="00B46173" w:rsidRDefault="00F71A6A" w:rsidP="009B0194">
      <w:pPr>
        <w:pStyle w:val="ECHRTitle1"/>
        <w:rPr>
          <w:lang w:val="en-GB"/>
        </w:rPr>
      </w:pPr>
      <w:r w:rsidRPr="00B46173">
        <w:rPr>
          <w:lang w:val="en-GB"/>
        </w:rPr>
        <w:t>FOR THESE REASONS, THE COURT</w:t>
      </w:r>
    </w:p>
    <w:p w:rsidR="009C4AB5" w:rsidRPr="00864D90" w:rsidRDefault="009C4AB5" w:rsidP="00291D2C">
      <w:pPr>
        <w:pStyle w:val="JuList"/>
        <w:rPr>
          <w:lang w:val="en-US"/>
        </w:rPr>
      </w:pPr>
      <w:r w:rsidRPr="00864D90">
        <w:rPr>
          <w:lang w:val="en-US"/>
        </w:rPr>
        <w:t>1.   </w:t>
      </w:r>
      <w:r w:rsidRPr="00864D90">
        <w:rPr>
          <w:i/>
          <w:lang w:val="en-US"/>
        </w:rPr>
        <w:t>Decides</w:t>
      </w:r>
      <w:r w:rsidRPr="00864D90">
        <w:rPr>
          <w:noProof/>
          <w:lang w:val="en-US"/>
        </w:rPr>
        <w:t>, unanimously, to join the applications;</w:t>
      </w:r>
    </w:p>
    <w:p w:rsidR="009C4AB5" w:rsidRPr="00864D90" w:rsidRDefault="009C4AB5" w:rsidP="00291D2C">
      <w:pPr>
        <w:pStyle w:val="JuList"/>
        <w:rPr>
          <w:lang w:val="en-US"/>
        </w:rPr>
      </w:pPr>
    </w:p>
    <w:p w:rsidR="009C4AB5" w:rsidRPr="00864D90" w:rsidRDefault="009C4AB5" w:rsidP="00291D2C">
      <w:pPr>
        <w:pStyle w:val="JuList"/>
        <w:rPr>
          <w:i/>
          <w:lang w:val="en-US"/>
        </w:rPr>
      </w:pPr>
      <w:r w:rsidRPr="00864D90">
        <w:rPr>
          <w:lang w:val="en-US"/>
        </w:rPr>
        <w:t>2.  </w:t>
      </w:r>
      <w:r w:rsidRPr="00864D90">
        <w:rPr>
          <w:i/>
          <w:lang w:val="en-US"/>
        </w:rPr>
        <w:t xml:space="preserve"> Declares, </w:t>
      </w:r>
      <w:r w:rsidRPr="00864D90">
        <w:rPr>
          <w:noProof/>
          <w:lang w:val="en-US"/>
        </w:rPr>
        <w:t>unanimously,</w:t>
      </w:r>
      <w:r w:rsidRPr="00864D90">
        <w:rPr>
          <w:lang w:val="en-US"/>
        </w:rPr>
        <w:t xml:space="preserve"> the </w:t>
      </w:r>
      <w:r w:rsidRPr="00864D90">
        <w:rPr>
          <w:noProof/>
          <w:lang w:val="en-US"/>
        </w:rPr>
        <w:t>applications</w:t>
      </w:r>
      <w:r w:rsidRPr="00864D90">
        <w:rPr>
          <w:lang w:val="en-US"/>
        </w:rPr>
        <w:t xml:space="preserve"> admissible;</w:t>
      </w:r>
    </w:p>
    <w:p w:rsidR="009C4AB5" w:rsidRPr="00864D90" w:rsidRDefault="009C4AB5" w:rsidP="00291D2C">
      <w:pPr>
        <w:pStyle w:val="JuList"/>
        <w:rPr>
          <w:lang w:val="en-US"/>
        </w:rPr>
      </w:pPr>
    </w:p>
    <w:p w:rsidR="009C4AB5" w:rsidRPr="00864D90" w:rsidRDefault="009C4AB5" w:rsidP="00291D2C">
      <w:pPr>
        <w:pStyle w:val="JuList"/>
        <w:rPr>
          <w:lang w:val="en-US"/>
        </w:rPr>
      </w:pPr>
      <w:r w:rsidRPr="00864D90">
        <w:rPr>
          <w:lang w:val="en-US"/>
        </w:rPr>
        <w:t>3.  </w:t>
      </w:r>
      <w:r w:rsidRPr="00864D90">
        <w:rPr>
          <w:i/>
          <w:lang w:val="en-US"/>
        </w:rPr>
        <w:t>Holds</w:t>
      </w:r>
      <w:r w:rsidRPr="00864D90">
        <w:rPr>
          <w:noProof/>
          <w:lang w:val="en-US"/>
        </w:rPr>
        <w:t>, unanimously,</w:t>
      </w:r>
      <w:r w:rsidRPr="00864D90">
        <w:rPr>
          <w:color w:val="000000"/>
          <w:lang w:val="en-US"/>
        </w:rPr>
        <w:t xml:space="preserve"> </w:t>
      </w:r>
      <w:r w:rsidRPr="00864D90">
        <w:rPr>
          <w:lang w:val="en-US"/>
        </w:rPr>
        <w:t xml:space="preserve">that there has been a violation of Article 6 </w:t>
      </w:r>
      <w:r w:rsidRPr="00864D90">
        <w:rPr>
          <w:rFonts w:cstheme="minorHAnsi"/>
          <w:lang w:val="en-US"/>
        </w:rPr>
        <w:t>§</w:t>
      </w:r>
      <w:r w:rsidRPr="00864D90">
        <w:rPr>
          <w:lang w:val="en-US"/>
        </w:rPr>
        <w:t xml:space="preserve"> 1 of the Convention;</w:t>
      </w:r>
    </w:p>
    <w:p w:rsidR="009C4AB5" w:rsidRPr="00864D90" w:rsidRDefault="009C4AB5" w:rsidP="00291D2C">
      <w:pPr>
        <w:pStyle w:val="JuList"/>
        <w:rPr>
          <w:lang w:val="en-US"/>
        </w:rPr>
      </w:pPr>
    </w:p>
    <w:p w:rsidR="009C4AB5" w:rsidRPr="00864D90" w:rsidRDefault="009C4AB5" w:rsidP="00291D2C">
      <w:pPr>
        <w:pStyle w:val="JuList"/>
        <w:rPr>
          <w:lang w:val="en-US"/>
        </w:rPr>
      </w:pPr>
      <w:r w:rsidRPr="00864D90">
        <w:rPr>
          <w:lang w:val="en-US"/>
        </w:rPr>
        <w:t>4.  </w:t>
      </w:r>
      <w:r w:rsidRPr="00864D90">
        <w:rPr>
          <w:i/>
          <w:lang w:val="en-US"/>
        </w:rPr>
        <w:t>Holds</w:t>
      </w:r>
      <w:r w:rsidRPr="00864D90">
        <w:rPr>
          <w:noProof/>
          <w:lang w:val="en-US"/>
        </w:rPr>
        <w:t xml:space="preserve">, </w:t>
      </w:r>
      <w:r w:rsidRPr="00864D90">
        <w:rPr>
          <w:rFonts w:ascii="Times New Roman" w:hAnsi="Times New Roman" w:cs="Times New Roman"/>
          <w:color w:val="000000"/>
          <w:lang w:val="en-US"/>
        </w:rPr>
        <w:t>by five votes to two</w:t>
      </w:r>
      <w:r w:rsidRPr="00864D90">
        <w:rPr>
          <w:noProof/>
          <w:lang w:val="en-US"/>
        </w:rPr>
        <w:t>,</w:t>
      </w:r>
      <w:r w:rsidRPr="00864D90">
        <w:rPr>
          <w:color w:val="000000"/>
          <w:lang w:val="en-US"/>
        </w:rPr>
        <w:t xml:space="preserve"> </w:t>
      </w:r>
      <w:r w:rsidRPr="00864D90">
        <w:rPr>
          <w:lang w:val="en-US"/>
        </w:rPr>
        <w:t>that there has been no violation of Article 1 of Protocol No. 1 to the Convention;</w:t>
      </w:r>
    </w:p>
    <w:p w:rsidR="009C4AB5" w:rsidRPr="00864D90" w:rsidRDefault="009C4AB5" w:rsidP="00291D2C">
      <w:pPr>
        <w:pStyle w:val="JuList"/>
        <w:rPr>
          <w:lang w:val="en-US"/>
        </w:rPr>
      </w:pPr>
    </w:p>
    <w:p w:rsidR="009C4AB5" w:rsidRPr="00864D90" w:rsidRDefault="009C4AB5" w:rsidP="00291D2C">
      <w:pPr>
        <w:pStyle w:val="JuList"/>
        <w:rPr>
          <w:lang w:val="en-US"/>
        </w:rPr>
      </w:pPr>
      <w:r w:rsidRPr="00864D90">
        <w:rPr>
          <w:lang w:val="en-US"/>
        </w:rPr>
        <w:t>5.  </w:t>
      </w:r>
      <w:r w:rsidRPr="00864D90">
        <w:rPr>
          <w:i/>
          <w:lang w:val="en-US"/>
        </w:rPr>
        <w:t>Holds</w:t>
      </w:r>
      <w:r w:rsidRPr="00864D90">
        <w:rPr>
          <w:noProof/>
          <w:lang w:val="en-US"/>
        </w:rPr>
        <w:t>, by six votes to one,</w:t>
      </w:r>
    </w:p>
    <w:p w:rsidR="009C4AB5" w:rsidRPr="00864D90" w:rsidRDefault="009C4AB5" w:rsidP="00291D2C">
      <w:pPr>
        <w:pStyle w:val="JuLista"/>
        <w:rPr>
          <w:lang w:val="en-US"/>
        </w:rPr>
      </w:pPr>
      <w:r w:rsidRPr="00864D90">
        <w:rPr>
          <w:lang w:val="en-US"/>
        </w:rPr>
        <w:t>(a)  that the respondent State is to pay the applicant companies, within three months from the date on which the judgment becomes final in accordance with Article 44 § 2 of the Convention, the following amounts from which must be deducted the sums not yet returned by the applicant companies to the INPS:</w:t>
      </w:r>
    </w:p>
    <w:p w:rsidR="009C4AB5" w:rsidRPr="00864D90" w:rsidRDefault="009C4AB5" w:rsidP="00291D2C">
      <w:pPr>
        <w:pStyle w:val="JuListi"/>
        <w:rPr>
          <w:lang w:val="en-US"/>
        </w:rPr>
      </w:pPr>
      <w:r w:rsidRPr="00864D90">
        <w:rPr>
          <w:lang w:val="en-US"/>
        </w:rPr>
        <w:t xml:space="preserve">(i)  EUR </w:t>
      </w:r>
      <w:r w:rsidR="00AE4AB2" w:rsidRPr="00864D90">
        <w:rPr>
          <w:lang w:val="en-US"/>
        </w:rPr>
        <w:t xml:space="preserve">44,900 </w:t>
      </w:r>
      <w:r w:rsidRPr="00864D90">
        <w:rPr>
          <w:lang w:val="en-US"/>
        </w:rPr>
        <w:t>(</w:t>
      </w:r>
      <w:r w:rsidR="00AE4AB2" w:rsidRPr="00864D90">
        <w:rPr>
          <w:lang w:val="en-US"/>
        </w:rPr>
        <w:t>forty-four</w:t>
      </w:r>
      <w:r w:rsidRPr="00864D90">
        <w:rPr>
          <w:lang w:val="en-US"/>
        </w:rPr>
        <w:t xml:space="preserve"> thousand</w:t>
      </w:r>
      <w:r w:rsidR="00AE4AB2" w:rsidRPr="00864D90">
        <w:rPr>
          <w:lang w:val="en-US"/>
        </w:rPr>
        <w:t xml:space="preserve"> nine</w:t>
      </w:r>
      <w:r w:rsidRPr="00864D90">
        <w:rPr>
          <w:lang w:val="en-US"/>
        </w:rPr>
        <w:t xml:space="preserve"> hundred euros) in respect of pecuniary damage to Azienda Agricola Silverfunghi;</w:t>
      </w:r>
    </w:p>
    <w:p w:rsidR="009C4AB5" w:rsidRPr="00291D2C" w:rsidRDefault="00291D2C" w:rsidP="00291D2C">
      <w:pPr>
        <w:pStyle w:val="JuListi"/>
        <w:rPr>
          <w:lang w:val="en-US"/>
        </w:rPr>
      </w:pPr>
      <w:r w:rsidRPr="00291D2C">
        <w:rPr>
          <w:lang w:val="en-US"/>
        </w:rPr>
        <w:t>–  </w:t>
      </w:r>
      <w:r w:rsidR="009C4AB5" w:rsidRPr="00291D2C">
        <w:rPr>
          <w:lang w:val="en-US"/>
        </w:rPr>
        <w:t xml:space="preserve">EUR </w:t>
      </w:r>
      <w:r w:rsidR="00AE4AB2" w:rsidRPr="00291D2C">
        <w:rPr>
          <w:lang w:val="en-US"/>
        </w:rPr>
        <w:t xml:space="preserve">106,900 </w:t>
      </w:r>
      <w:r w:rsidR="009C4AB5" w:rsidRPr="00291D2C">
        <w:rPr>
          <w:lang w:val="en-US"/>
        </w:rPr>
        <w:t>(</w:t>
      </w:r>
      <w:r w:rsidR="00AE4AB2" w:rsidRPr="00291D2C">
        <w:rPr>
          <w:lang w:val="en-US"/>
        </w:rPr>
        <w:t xml:space="preserve">one </w:t>
      </w:r>
      <w:r w:rsidR="009C4AB5" w:rsidRPr="00291D2C">
        <w:rPr>
          <w:lang w:val="en-US"/>
        </w:rPr>
        <w:t>hundred and</w:t>
      </w:r>
      <w:r w:rsidR="00AE4AB2" w:rsidRPr="00291D2C">
        <w:rPr>
          <w:lang w:val="en-US"/>
        </w:rPr>
        <w:t xml:space="preserve"> six thousand</w:t>
      </w:r>
      <w:r w:rsidR="009C4AB5" w:rsidRPr="00291D2C">
        <w:rPr>
          <w:lang w:val="en-US"/>
        </w:rPr>
        <w:t xml:space="preserve"> </w:t>
      </w:r>
      <w:r w:rsidR="00AE4AB2" w:rsidRPr="00291D2C">
        <w:rPr>
          <w:lang w:val="en-US"/>
        </w:rPr>
        <w:t>nine</w:t>
      </w:r>
      <w:r w:rsidR="009C4AB5" w:rsidRPr="00291D2C">
        <w:rPr>
          <w:lang w:val="en-US"/>
        </w:rPr>
        <w:t xml:space="preserve"> hundred euros) in respect of pecuniary damage to Scarpellini S.r.l.;</w:t>
      </w:r>
    </w:p>
    <w:p w:rsidR="009C4AB5" w:rsidRPr="00291D2C" w:rsidRDefault="00291D2C" w:rsidP="00291D2C">
      <w:pPr>
        <w:pStyle w:val="JuListi"/>
        <w:rPr>
          <w:bCs/>
          <w:szCs w:val="24"/>
          <w:lang w:val="en-US"/>
        </w:rPr>
      </w:pPr>
      <w:r w:rsidRPr="00291D2C">
        <w:rPr>
          <w:lang w:val="en-US"/>
        </w:rPr>
        <w:t>–  </w:t>
      </w:r>
      <w:r w:rsidR="009C4AB5" w:rsidRPr="00291D2C">
        <w:rPr>
          <w:lang w:val="en-US"/>
        </w:rPr>
        <w:t xml:space="preserve">EUR </w:t>
      </w:r>
      <w:r w:rsidR="00AE4AB2" w:rsidRPr="00291D2C">
        <w:rPr>
          <w:lang w:val="en-US"/>
        </w:rPr>
        <w:t>54,400</w:t>
      </w:r>
      <w:r w:rsidR="009C4AB5" w:rsidRPr="00291D2C">
        <w:rPr>
          <w:lang w:val="en-US"/>
        </w:rPr>
        <w:t xml:space="preserve"> (</w:t>
      </w:r>
      <w:r w:rsidR="00AE4AB2" w:rsidRPr="00291D2C">
        <w:rPr>
          <w:lang w:val="en-US"/>
        </w:rPr>
        <w:t>fifty four</w:t>
      </w:r>
      <w:r w:rsidR="009C4AB5" w:rsidRPr="00291D2C">
        <w:rPr>
          <w:lang w:val="en-US"/>
        </w:rPr>
        <w:t xml:space="preserve"> thousand </w:t>
      </w:r>
      <w:r w:rsidR="00AE4AB2" w:rsidRPr="00291D2C">
        <w:rPr>
          <w:lang w:val="en-US"/>
        </w:rPr>
        <w:t xml:space="preserve">four </w:t>
      </w:r>
      <w:r w:rsidR="009C4AB5" w:rsidRPr="00291D2C">
        <w:rPr>
          <w:lang w:val="en-US"/>
        </w:rPr>
        <w:t xml:space="preserve">hundred euros) in respect of pecuniary damage to </w:t>
      </w:r>
      <w:r w:rsidR="009C4AB5" w:rsidRPr="00291D2C">
        <w:rPr>
          <w:bCs/>
          <w:szCs w:val="24"/>
          <w:lang w:val="en-US"/>
        </w:rPr>
        <w:t>S.A.P. Pietrafitta S.r.l.;</w:t>
      </w:r>
    </w:p>
    <w:p w:rsidR="00632A2E" w:rsidRPr="00291D2C" w:rsidRDefault="00291D2C" w:rsidP="00291D2C">
      <w:pPr>
        <w:pStyle w:val="JuListi"/>
        <w:rPr>
          <w:bCs/>
          <w:szCs w:val="24"/>
          <w:lang w:val="en-US"/>
        </w:rPr>
      </w:pPr>
      <w:r w:rsidRPr="00291D2C">
        <w:rPr>
          <w:lang w:val="en-US"/>
        </w:rPr>
        <w:t>–  </w:t>
      </w:r>
      <w:r w:rsidR="009C4AB5" w:rsidRPr="00291D2C">
        <w:rPr>
          <w:lang w:val="en-US"/>
        </w:rPr>
        <w:t xml:space="preserve">EUR </w:t>
      </w:r>
      <w:r w:rsidR="00AE4AB2" w:rsidRPr="00291D2C">
        <w:rPr>
          <w:lang w:val="en-US"/>
        </w:rPr>
        <w:t>42,200</w:t>
      </w:r>
      <w:r w:rsidR="009C4AB5" w:rsidRPr="00291D2C">
        <w:rPr>
          <w:lang w:val="en-US"/>
        </w:rPr>
        <w:t xml:space="preserve"> (</w:t>
      </w:r>
      <w:r w:rsidR="00AE4AB2" w:rsidRPr="00291D2C">
        <w:rPr>
          <w:lang w:val="en-US"/>
        </w:rPr>
        <w:t>forty-two thousand</w:t>
      </w:r>
      <w:r w:rsidR="009C4AB5" w:rsidRPr="00291D2C">
        <w:rPr>
          <w:lang w:val="en-US"/>
        </w:rPr>
        <w:t xml:space="preserve"> </w:t>
      </w:r>
      <w:r w:rsidR="00AE4AB2" w:rsidRPr="00291D2C">
        <w:rPr>
          <w:lang w:val="en-US"/>
        </w:rPr>
        <w:t xml:space="preserve">two hundred </w:t>
      </w:r>
      <w:r w:rsidR="009C4AB5" w:rsidRPr="00291D2C">
        <w:rPr>
          <w:lang w:val="en-US"/>
        </w:rPr>
        <w:t xml:space="preserve">euros) in respect of pecuniary damage to </w:t>
      </w:r>
      <w:r w:rsidR="009C4AB5" w:rsidRPr="00291D2C">
        <w:rPr>
          <w:bCs/>
          <w:szCs w:val="24"/>
          <w:lang w:val="en-US"/>
        </w:rPr>
        <w:t>Floricultura Zanchi Di Zanchi;</w:t>
      </w:r>
    </w:p>
    <w:p w:rsidR="009C4AB5" w:rsidRPr="00291D2C" w:rsidRDefault="009C4AB5" w:rsidP="00291D2C">
      <w:pPr>
        <w:pStyle w:val="JuListi"/>
        <w:rPr>
          <w:lang w:val="en-US"/>
        </w:rPr>
      </w:pPr>
      <w:r w:rsidRPr="00291D2C">
        <w:rPr>
          <w:lang w:val="en-US"/>
        </w:rPr>
        <w:t>(ii)  EUR 1,000 (one thousand euros), plus any tax that may be chargeable, to each applicant company in respect of non-pecuniary damage;</w:t>
      </w:r>
    </w:p>
    <w:p w:rsidR="009C4AB5" w:rsidRPr="00864D90" w:rsidRDefault="009C4AB5" w:rsidP="00291D2C">
      <w:pPr>
        <w:pStyle w:val="JuListi"/>
        <w:rPr>
          <w:lang w:val="en-US"/>
        </w:rPr>
      </w:pPr>
      <w:r w:rsidRPr="00864D90">
        <w:rPr>
          <w:lang w:val="en-US"/>
        </w:rPr>
        <w:t>(iii)  EUR 10,000 (ten thousand euros), plus any tax that may be chargeable to the applicant</w:t>
      </w:r>
      <w:r w:rsidRPr="00864D90">
        <w:rPr>
          <w:noProof/>
          <w:lang w:val="en-US"/>
        </w:rPr>
        <w:t xml:space="preserve"> company</w:t>
      </w:r>
      <w:r w:rsidRPr="00864D90">
        <w:rPr>
          <w:lang w:val="en-US"/>
        </w:rPr>
        <w:t>, in respect of costs and expenses to Azienda Agricola Silverfunghi;</w:t>
      </w:r>
    </w:p>
    <w:p w:rsidR="009C4AB5" w:rsidRPr="00291D2C" w:rsidRDefault="00291D2C" w:rsidP="00291D2C">
      <w:pPr>
        <w:pStyle w:val="JuListi"/>
        <w:rPr>
          <w:lang w:val="en-US"/>
        </w:rPr>
      </w:pPr>
      <w:r w:rsidRPr="00291D2C">
        <w:rPr>
          <w:lang w:val="en-US"/>
        </w:rPr>
        <w:t>–  </w:t>
      </w:r>
      <w:r w:rsidR="009C4AB5" w:rsidRPr="00291D2C">
        <w:rPr>
          <w:lang w:val="en-US"/>
        </w:rPr>
        <w:t>EUR 20,300 (twenty thousand three hundred euros), plus any tax that may be chargeable to the applicant</w:t>
      </w:r>
      <w:r w:rsidR="009C4AB5" w:rsidRPr="00291D2C">
        <w:rPr>
          <w:noProof/>
          <w:lang w:val="en-US"/>
        </w:rPr>
        <w:t xml:space="preserve"> company</w:t>
      </w:r>
      <w:r w:rsidR="009C4AB5" w:rsidRPr="00291D2C">
        <w:rPr>
          <w:lang w:val="en-US"/>
        </w:rPr>
        <w:t>, in respect of costs and expenses to Scarpellini S.r.l.;</w:t>
      </w:r>
    </w:p>
    <w:p w:rsidR="009C4AB5" w:rsidRPr="00291D2C" w:rsidRDefault="00291D2C" w:rsidP="00291D2C">
      <w:pPr>
        <w:pStyle w:val="JuListi"/>
        <w:rPr>
          <w:bCs/>
          <w:szCs w:val="24"/>
          <w:lang w:val="en-US"/>
        </w:rPr>
      </w:pPr>
      <w:r w:rsidRPr="00291D2C">
        <w:rPr>
          <w:lang w:val="en-US"/>
        </w:rPr>
        <w:t>–  </w:t>
      </w:r>
      <w:r w:rsidR="009C4AB5" w:rsidRPr="00291D2C">
        <w:rPr>
          <w:lang w:val="en-US"/>
        </w:rPr>
        <w:t>EUR 15,200 (fifteen thousand two hundred euros), plus any tax that may be chargeable to the applicant</w:t>
      </w:r>
      <w:r w:rsidR="009C4AB5" w:rsidRPr="00291D2C">
        <w:rPr>
          <w:noProof/>
          <w:lang w:val="en-US"/>
        </w:rPr>
        <w:t xml:space="preserve"> company</w:t>
      </w:r>
      <w:r w:rsidR="009C4AB5" w:rsidRPr="00291D2C">
        <w:rPr>
          <w:lang w:val="en-US"/>
        </w:rPr>
        <w:t xml:space="preserve">, in respect of costs and expenses to </w:t>
      </w:r>
      <w:r w:rsidR="009C4AB5" w:rsidRPr="00291D2C">
        <w:rPr>
          <w:bCs/>
          <w:szCs w:val="24"/>
          <w:lang w:val="en-US"/>
        </w:rPr>
        <w:t>S.A.P. Pietrafitta S.r.l.;</w:t>
      </w:r>
    </w:p>
    <w:p w:rsidR="009C4AB5" w:rsidRPr="00291D2C" w:rsidRDefault="00291D2C" w:rsidP="00291D2C">
      <w:pPr>
        <w:pStyle w:val="JuListi"/>
        <w:rPr>
          <w:bCs/>
          <w:szCs w:val="24"/>
          <w:lang w:val="en-US"/>
        </w:rPr>
      </w:pPr>
      <w:r w:rsidRPr="00291D2C">
        <w:rPr>
          <w:lang w:val="en-US"/>
        </w:rPr>
        <w:t>–  </w:t>
      </w:r>
      <w:r w:rsidR="009C4AB5" w:rsidRPr="00291D2C">
        <w:rPr>
          <w:lang w:val="en-US"/>
        </w:rPr>
        <w:t>EUR 21,700 (twenty-one thousand seven hundred euros), plus any tax that may be chargeable to the applicant</w:t>
      </w:r>
      <w:r w:rsidR="009C4AB5" w:rsidRPr="00291D2C">
        <w:rPr>
          <w:noProof/>
          <w:lang w:val="en-US"/>
        </w:rPr>
        <w:t xml:space="preserve"> company</w:t>
      </w:r>
      <w:r w:rsidR="009C4AB5" w:rsidRPr="00291D2C">
        <w:rPr>
          <w:lang w:val="en-US"/>
        </w:rPr>
        <w:t xml:space="preserve">, in respect of costs and expenses to </w:t>
      </w:r>
      <w:r w:rsidR="009C4AB5" w:rsidRPr="00291D2C">
        <w:rPr>
          <w:bCs/>
          <w:szCs w:val="24"/>
          <w:lang w:val="en-US"/>
        </w:rPr>
        <w:t>Floricultura Zanchi Di Zanchi;</w:t>
      </w:r>
    </w:p>
    <w:p w:rsidR="009C4AB5" w:rsidRDefault="009C4AB5" w:rsidP="00291D2C">
      <w:pPr>
        <w:pStyle w:val="JuLista"/>
        <w:rPr>
          <w:lang w:val="en-US"/>
        </w:rPr>
      </w:pPr>
      <w:r w:rsidRPr="00291D2C">
        <w:rPr>
          <w:lang w:val="en-US"/>
        </w:rPr>
        <w:t>(b)  that from the expiry of the above-mentioned three months until settlement simple interest shall be payable on the above amounts at a rate equal to the marginal lending rate of the European Central Bank during the default period plus three percentage points;</w:t>
      </w:r>
    </w:p>
    <w:p w:rsidR="00291D2C" w:rsidRPr="00291D2C" w:rsidRDefault="00291D2C" w:rsidP="00291D2C">
      <w:pPr>
        <w:pStyle w:val="JuLista"/>
        <w:rPr>
          <w:lang w:val="en-US"/>
        </w:rPr>
      </w:pPr>
    </w:p>
    <w:p w:rsidR="00632A2E" w:rsidRPr="00291D2C" w:rsidRDefault="009C4AB5" w:rsidP="00291D2C">
      <w:pPr>
        <w:pStyle w:val="JuList"/>
        <w:rPr>
          <w:lang w:val="en-US"/>
        </w:rPr>
      </w:pPr>
      <w:r w:rsidRPr="00864D90">
        <w:rPr>
          <w:lang w:val="en-US"/>
        </w:rPr>
        <w:t>6. </w:t>
      </w:r>
      <w:r w:rsidR="00291D2C" w:rsidRPr="00864D90">
        <w:rPr>
          <w:lang w:val="en-US"/>
        </w:rPr>
        <w:t> </w:t>
      </w:r>
      <w:r w:rsidRPr="00291D2C">
        <w:rPr>
          <w:i/>
          <w:lang w:val="en-US"/>
        </w:rPr>
        <w:t>Dismisses</w:t>
      </w:r>
      <w:r w:rsidRPr="00291D2C">
        <w:rPr>
          <w:noProof/>
          <w:lang w:val="en-US"/>
        </w:rPr>
        <w:t>, by five votes to two,</w:t>
      </w:r>
      <w:r w:rsidRPr="00291D2C">
        <w:rPr>
          <w:color w:val="000000"/>
          <w:lang w:val="en-US"/>
        </w:rPr>
        <w:t xml:space="preserve"> </w:t>
      </w:r>
      <w:r w:rsidRPr="00291D2C">
        <w:rPr>
          <w:lang w:val="en-US"/>
        </w:rPr>
        <w:t>the remainder of the applicant companie</w:t>
      </w:r>
      <w:r w:rsidRPr="00291D2C">
        <w:rPr>
          <w:noProof/>
          <w:lang w:val="en-US"/>
        </w:rPr>
        <w:t>s</w:t>
      </w:r>
      <w:r w:rsidR="00864D90">
        <w:rPr>
          <w:noProof/>
          <w:lang w:val="en-US"/>
        </w:rPr>
        <w:t>’</w:t>
      </w:r>
      <w:r w:rsidRPr="00291D2C">
        <w:rPr>
          <w:lang w:val="en-US"/>
        </w:rPr>
        <w:t xml:space="preserve"> claim for just satisfaction.</w:t>
      </w:r>
    </w:p>
    <w:p w:rsidR="00325C2B" w:rsidRPr="00B46173" w:rsidRDefault="00F71A6A" w:rsidP="009B0194">
      <w:pPr>
        <w:pStyle w:val="JuParaLast"/>
        <w:rPr>
          <w:lang w:val="en-GB"/>
        </w:rPr>
      </w:pPr>
      <w:r w:rsidRPr="00B46173">
        <w:rPr>
          <w:lang w:val="en-GB"/>
        </w:rPr>
        <w:t xml:space="preserve">Done in English, and notified in writing on </w:t>
      </w:r>
      <w:r w:rsidR="00591B3F">
        <w:rPr>
          <w:lang w:val="en-GB"/>
        </w:rPr>
        <w:t>24 June 2014</w:t>
      </w:r>
      <w:r w:rsidRPr="00B46173">
        <w:rPr>
          <w:lang w:val="en-GB"/>
        </w:rPr>
        <w:t>, pursuant to Rule</w:t>
      </w:r>
      <w:r w:rsidR="0011665B" w:rsidRPr="00B46173">
        <w:rPr>
          <w:lang w:val="en-GB"/>
        </w:rPr>
        <w:t xml:space="preserve"> </w:t>
      </w:r>
      <w:r w:rsidRPr="00B46173">
        <w:rPr>
          <w:lang w:val="en-GB"/>
        </w:rPr>
        <w:t>77</w:t>
      </w:r>
      <w:r w:rsidR="0011665B" w:rsidRPr="00B46173">
        <w:rPr>
          <w:lang w:val="en-GB"/>
        </w:rPr>
        <w:t xml:space="preserve"> </w:t>
      </w:r>
      <w:r w:rsidRPr="00B46173">
        <w:rPr>
          <w:lang w:val="en-GB"/>
        </w:rPr>
        <w:t>§§</w:t>
      </w:r>
      <w:r w:rsidR="0011665B" w:rsidRPr="00B46173">
        <w:rPr>
          <w:lang w:val="en-GB"/>
        </w:rPr>
        <w:t xml:space="preserve"> </w:t>
      </w:r>
      <w:r w:rsidRPr="00B46173">
        <w:rPr>
          <w:lang w:val="en-GB"/>
        </w:rPr>
        <w:t>2 and</w:t>
      </w:r>
      <w:r w:rsidR="0011665B" w:rsidRPr="00B46173">
        <w:rPr>
          <w:lang w:val="en-GB"/>
        </w:rPr>
        <w:t xml:space="preserve"> </w:t>
      </w:r>
      <w:r w:rsidRPr="00B46173">
        <w:rPr>
          <w:lang w:val="en-GB"/>
        </w:rPr>
        <w:t>3 of the Rules of Court.</w:t>
      </w:r>
    </w:p>
    <w:p w:rsidR="00DD6E59" w:rsidRDefault="00325C2B" w:rsidP="009B0194">
      <w:pPr>
        <w:pStyle w:val="JuSigned"/>
        <w:keepNext/>
        <w:keepLines/>
        <w:rPr>
          <w:lang w:val="en-GB"/>
        </w:rPr>
      </w:pPr>
      <w:r w:rsidRPr="00B46173">
        <w:rPr>
          <w:lang w:val="en-GB"/>
        </w:rPr>
        <w:tab/>
      </w:r>
      <w:r w:rsidR="00634F53">
        <w:rPr>
          <w:noProof/>
          <w:lang w:val="en-GB"/>
        </w:rPr>
        <w:t>Stanley</w:t>
      </w:r>
      <w:r w:rsidR="00634F53" w:rsidRPr="00B46173">
        <w:rPr>
          <w:noProof/>
          <w:lang w:val="en-GB"/>
        </w:rPr>
        <w:t xml:space="preserve"> </w:t>
      </w:r>
      <w:r w:rsidR="00634F53">
        <w:rPr>
          <w:noProof/>
          <w:lang w:val="en-GB"/>
        </w:rPr>
        <w:t>Naismith</w:t>
      </w:r>
      <w:r w:rsidR="00A8381C" w:rsidRPr="00B46173">
        <w:rPr>
          <w:lang w:val="en-GB"/>
        </w:rPr>
        <w:tab/>
      </w:r>
      <w:r w:rsidR="00096E33">
        <w:rPr>
          <w:lang w:val="en-GB"/>
        </w:rPr>
        <w:t>Işıl</w:t>
      </w:r>
      <w:r w:rsidR="00096E33" w:rsidRPr="006B6037">
        <w:rPr>
          <w:lang w:val="en-GB"/>
        </w:rPr>
        <w:t xml:space="preserve"> </w:t>
      </w:r>
      <w:r w:rsidR="00096E33">
        <w:rPr>
          <w:lang w:val="en-GB"/>
        </w:rPr>
        <w:t>Karakaş</w:t>
      </w:r>
      <w:r w:rsidR="00291D2C">
        <w:rPr>
          <w:lang w:val="en-GB"/>
        </w:rPr>
        <w:br/>
      </w:r>
      <w:r w:rsidR="00A8381C" w:rsidRPr="00B46173">
        <w:rPr>
          <w:lang w:val="en-GB"/>
        </w:rPr>
        <w:tab/>
      </w:r>
      <w:r w:rsidR="00634F53" w:rsidRPr="00B46173">
        <w:rPr>
          <w:iCs/>
          <w:noProof/>
          <w:lang w:val="en-GB"/>
        </w:rPr>
        <w:t>Registrar</w:t>
      </w:r>
      <w:r w:rsidR="00A8381C" w:rsidRPr="00B46173">
        <w:rPr>
          <w:lang w:val="en-GB"/>
        </w:rPr>
        <w:tab/>
        <w:t>President</w:t>
      </w:r>
    </w:p>
    <w:p w:rsidR="00A45406" w:rsidRPr="00A45406" w:rsidRDefault="00A45406" w:rsidP="00291D2C">
      <w:pPr>
        <w:pStyle w:val="JuParaLast"/>
        <w:rPr>
          <w:lang w:val="en-US"/>
        </w:rPr>
      </w:pPr>
      <w:r w:rsidRPr="00A45406">
        <w:rPr>
          <w:lang w:val="en-US"/>
        </w:rPr>
        <w:t>In accordance with Article 45 § 2 of the Convention and Rule 74 § 2 of the Rules of Court, the separate opinion of Judge</w:t>
      </w:r>
      <w:r w:rsidR="00A65210">
        <w:rPr>
          <w:lang w:val="en-US"/>
        </w:rPr>
        <w:t>s</w:t>
      </w:r>
      <w:r w:rsidR="00A65210" w:rsidRPr="00A65210">
        <w:rPr>
          <w:lang w:val="en-US"/>
        </w:rPr>
        <w:t xml:space="preserve"> Lemmens and Kūris</w:t>
      </w:r>
      <w:r w:rsidRPr="00A45406">
        <w:rPr>
          <w:lang w:val="en-US"/>
        </w:rPr>
        <w:t xml:space="preserve"> is annexed to this judgment.</w:t>
      </w:r>
    </w:p>
    <w:p w:rsidR="00ED704F" w:rsidRPr="007E5B94" w:rsidRDefault="000B55DE" w:rsidP="009B0194">
      <w:pPr>
        <w:pStyle w:val="JuInitialled"/>
        <w:rPr>
          <w:lang w:val="en-GB" w:eastAsia="en-US"/>
        </w:rPr>
        <w:sectPr w:rsidR="00ED704F" w:rsidRPr="007E5B94" w:rsidSect="00591B3F">
          <w:headerReference w:type="even" r:id="rId12"/>
          <w:headerReference w:type="default" r:id="rId13"/>
          <w:pgSz w:w="11906" w:h="16838" w:code="9"/>
          <w:pgMar w:top="2274" w:right="2274" w:bottom="2274" w:left="2274" w:header="1701" w:footer="720" w:gutter="0"/>
          <w:pgNumType w:start="1"/>
          <w:cols w:space="720"/>
          <w:docGrid w:linePitch="326"/>
        </w:sectPr>
      </w:pPr>
      <w:r w:rsidRPr="002A1B82">
        <w:rPr>
          <w:lang w:val="en-GB"/>
        </w:rPr>
        <w:t>A.</w:t>
      </w:r>
      <w:r w:rsidR="00B015CB" w:rsidRPr="002A1B82">
        <w:rPr>
          <w:lang w:val="en-GB"/>
        </w:rPr>
        <w:t>I.K.</w:t>
      </w:r>
      <w:r w:rsidR="00A45406" w:rsidRPr="002A1B82">
        <w:rPr>
          <w:lang w:val="en-GB"/>
        </w:rPr>
        <w:br/>
      </w:r>
      <w:r w:rsidR="00B015CB" w:rsidRPr="002A1B82">
        <w:rPr>
          <w:lang w:val="en-GB"/>
        </w:rPr>
        <w:t>S.</w:t>
      </w:r>
      <w:r w:rsidRPr="002A1B82">
        <w:rPr>
          <w:lang w:val="en-GB"/>
        </w:rPr>
        <w:t>H.</w:t>
      </w:r>
      <w:r w:rsidR="00B015CB" w:rsidRPr="002A1B82">
        <w:rPr>
          <w:lang w:val="en-GB"/>
        </w:rPr>
        <w:t>N.</w:t>
      </w:r>
    </w:p>
    <w:p w:rsidR="00DD6E59" w:rsidRPr="00D753CA" w:rsidRDefault="00DD6E59" w:rsidP="009B0194">
      <w:pPr>
        <w:pStyle w:val="JuTitle"/>
      </w:pPr>
      <w:r w:rsidRPr="00D753CA">
        <w:t>APPENDIX</w:t>
      </w:r>
    </w:p>
    <w:tbl>
      <w:tblPr>
        <w:tblW w:w="847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07"/>
        <w:gridCol w:w="1203"/>
        <w:gridCol w:w="1233"/>
        <w:gridCol w:w="5529"/>
      </w:tblGrid>
      <w:tr w:rsidR="00DD6E59" w:rsidRPr="00D753CA" w:rsidTr="00784828">
        <w:trPr>
          <w:trHeight w:val="926"/>
        </w:trPr>
        <w:tc>
          <w:tcPr>
            <w:tcW w:w="507" w:type="dxa"/>
            <w:shd w:val="clear" w:color="auto" w:fill="E0E0E0"/>
          </w:tcPr>
          <w:p w:rsidR="00DD6E59" w:rsidRPr="00D753CA" w:rsidRDefault="00DD6E59" w:rsidP="009B0194">
            <w:pPr>
              <w:pStyle w:val="ECHRPara"/>
              <w:ind w:firstLine="0"/>
              <w:jc w:val="center"/>
              <w:rPr>
                <w:b/>
                <w:bCs/>
                <w:sz w:val="16"/>
              </w:rPr>
            </w:pPr>
            <w:r w:rsidRPr="002A1B82">
              <w:rPr>
                <w:b/>
                <w:bCs/>
                <w:sz w:val="16"/>
                <w:lang w:val="en-GB"/>
              </w:rPr>
              <w:br w:type="page"/>
            </w:r>
            <w:bookmarkStart w:id="9" w:name="TableStart"/>
            <w:bookmarkEnd w:id="9"/>
            <w:r w:rsidRPr="00D753CA">
              <w:rPr>
                <w:b/>
                <w:bCs/>
                <w:sz w:val="16"/>
              </w:rPr>
              <w:t>No.</w:t>
            </w:r>
          </w:p>
        </w:tc>
        <w:tc>
          <w:tcPr>
            <w:tcW w:w="1203" w:type="dxa"/>
            <w:shd w:val="clear" w:color="auto" w:fill="E0E0E0"/>
          </w:tcPr>
          <w:p w:rsidR="00DD6E59" w:rsidRPr="00D753CA" w:rsidRDefault="00DD6E59" w:rsidP="009B0194">
            <w:pPr>
              <w:pStyle w:val="ECHRPara"/>
              <w:ind w:firstLine="0"/>
              <w:jc w:val="center"/>
              <w:rPr>
                <w:b/>
                <w:bCs/>
                <w:sz w:val="16"/>
              </w:rPr>
            </w:pPr>
            <w:r w:rsidRPr="00D753CA">
              <w:rPr>
                <w:b/>
                <w:bCs/>
                <w:sz w:val="16"/>
              </w:rPr>
              <w:t>Application</w:t>
            </w:r>
          </w:p>
          <w:p w:rsidR="00DD6E59" w:rsidRPr="00D753CA" w:rsidRDefault="00DD6E59" w:rsidP="009B0194">
            <w:pPr>
              <w:pStyle w:val="ECHRPara"/>
              <w:jc w:val="center"/>
              <w:rPr>
                <w:b/>
                <w:bCs/>
                <w:sz w:val="16"/>
              </w:rPr>
            </w:pPr>
            <w:r w:rsidRPr="00D753CA">
              <w:rPr>
                <w:b/>
                <w:bCs/>
                <w:sz w:val="16"/>
              </w:rPr>
              <w:t>no.</w:t>
            </w:r>
          </w:p>
        </w:tc>
        <w:tc>
          <w:tcPr>
            <w:tcW w:w="1233" w:type="dxa"/>
            <w:shd w:val="clear" w:color="auto" w:fill="E0E0E0"/>
          </w:tcPr>
          <w:p w:rsidR="00DD6E59" w:rsidRPr="00D753CA" w:rsidRDefault="00DD6E59" w:rsidP="009B0194">
            <w:pPr>
              <w:pStyle w:val="ECHRPara"/>
              <w:ind w:firstLine="0"/>
              <w:jc w:val="center"/>
              <w:rPr>
                <w:b/>
                <w:bCs/>
                <w:sz w:val="16"/>
              </w:rPr>
            </w:pPr>
            <w:r w:rsidRPr="00D753CA">
              <w:rPr>
                <w:b/>
                <w:bCs/>
                <w:sz w:val="16"/>
              </w:rPr>
              <w:t>Lodged on</w:t>
            </w:r>
          </w:p>
        </w:tc>
        <w:tc>
          <w:tcPr>
            <w:tcW w:w="5529" w:type="dxa"/>
            <w:shd w:val="clear" w:color="auto" w:fill="E0E0E0"/>
          </w:tcPr>
          <w:p w:rsidR="00DD6E59" w:rsidRPr="00DD6E59" w:rsidRDefault="00DD6E59" w:rsidP="009B0194">
            <w:pPr>
              <w:pStyle w:val="ECHRPara"/>
              <w:ind w:firstLine="0"/>
              <w:jc w:val="center"/>
              <w:rPr>
                <w:b/>
                <w:bCs/>
                <w:sz w:val="16"/>
                <w:lang w:val="en-GB"/>
              </w:rPr>
            </w:pPr>
            <w:r w:rsidRPr="00DD6E59">
              <w:rPr>
                <w:b/>
                <w:bCs/>
                <w:sz w:val="16"/>
                <w:lang w:val="en-GB"/>
              </w:rPr>
              <w:t>Applicant name</w:t>
            </w:r>
          </w:p>
          <w:p w:rsidR="00DD6E59" w:rsidRPr="00DD6E59" w:rsidRDefault="00DD6E59" w:rsidP="009B0194">
            <w:pPr>
              <w:pStyle w:val="ECHRPara"/>
              <w:ind w:firstLine="0"/>
              <w:jc w:val="center"/>
              <w:rPr>
                <w:b/>
                <w:bCs/>
                <w:sz w:val="16"/>
                <w:lang w:val="en-GB"/>
              </w:rPr>
            </w:pPr>
            <w:r w:rsidRPr="00DD6E59">
              <w:rPr>
                <w:b/>
                <w:bCs/>
                <w:sz w:val="16"/>
                <w:lang w:val="en-GB"/>
              </w:rPr>
              <w:t>date of birth</w:t>
            </w:r>
          </w:p>
          <w:p w:rsidR="00DD6E59" w:rsidRPr="00DD6E59" w:rsidRDefault="00DD6E59" w:rsidP="009B0194">
            <w:pPr>
              <w:pStyle w:val="ECHRPara"/>
              <w:ind w:firstLine="0"/>
              <w:jc w:val="center"/>
              <w:rPr>
                <w:b/>
                <w:bCs/>
                <w:sz w:val="16"/>
                <w:lang w:val="en-GB"/>
              </w:rPr>
            </w:pPr>
            <w:r w:rsidRPr="00DD6E59">
              <w:rPr>
                <w:b/>
                <w:bCs/>
                <w:sz w:val="16"/>
                <w:lang w:val="en-GB"/>
              </w:rPr>
              <w:t>place of residence</w:t>
            </w:r>
          </w:p>
        </w:tc>
      </w:tr>
      <w:tr w:rsidR="00DD6E59" w:rsidRPr="00D753CA" w:rsidTr="00784828">
        <w:trPr>
          <w:trHeight w:val="711"/>
        </w:trPr>
        <w:tc>
          <w:tcPr>
            <w:tcW w:w="507" w:type="dxa"/>
          </w:tcPr>
          <w:p w:rsidR="00DD6E59" w:rsidRPr="00DD6E59" w:rsidRDefault="00DD6E59" w:rsidP="009B0194">
            <w:pPr>
              <w:pStyle w:val="ECHRPara"/>
              <w:numPr>
                <w:ilvl w:val="0"/>
                <w:numId w:val="15"/>
              </w:numPr>
              <w:ind w:left="357" w:hanging="357"/>
              <w:jc w:val="left"/>
              <w:rPr>
                <w:b/>
                <w:sz w:val="20"/>
                <w:lang w:val="en-GB"/>
              </w:rPr>
            </w:pPr>
          </w:p>
        </w:tc>
        <w:tc>
          <w:tcPr>
            <w:tcW w:w="1203" w:type="dxa"/>
          </w:tcPr>
          <w:p w:rsidR="00DD6E59" w:rsidRPr="006475C4" w:rsidRDefault="00DD6E59" w:rsidP="009B0194">
            <w:pPr>
              <w:pStyle w:val="ECHRPara"/>
              <w:ind w:firstLine="0"/>
              <w:rPr>
                <w:bCs/>
                <w:sz w:val="20"/>
              </w:rPr>
            </w:pPr>
            <w:r w:rsidRPr="006475C4">
              <w:rPr>
                <w:bCs/>
                <w:sz w:val="20"/>
              </w:rPr>
              <w:t>48357/07</w:t>
            </w:r>
          </w:p>
        </w:tc>
        <w:tc>
          <w:tcPr>
            <w:tcW w:w="1233" w:type="dxa"/>
          </w:tcPr>
          <w:p w:rsidR="00DD6E59" w:rsidRPr="006475C4" w:rsidRDefault="00DD6E59" w:rsidP="009B0194">
            <w:pPr>
              <w:pStyle w:val="ECHRPara"/>
              <w:ind w:hanging="9"/>
              <w:rPr>
                <w:bCs/>
                <w:sz w:val="20"/>
              </w:rPr>
            </w:pPr>
            <w:r w:rsidRPr="006475C4">
              <w:rPr>
                <w:bCs/>
                <w:sz w:val="20"/>
              </w:rPr>
              <w:t>31/10/2007</w:t>
            </w:r>
          </w:p>
        </w:tc>
        <w:tc>
          <w:tcPr>
            <w:tcW w:w="5529" w:type="dxa"/>
          </w:tcPr>
          <w:p w:rsidR="00DD6E59" w:rsidRPr="00DD6E59" w:rsidRDefault="00DD6E59" w:rsidP="009B0194">
            <w:pPr>
              <w:pStyle w:val="ECHRPara"/>
              <w:ind w:firstLine="0"/>
              <w:rPr>
                <w:b/>
                <w:bCs/>
                <w:sz w:val="20"/>
                <w:lang w:val="it-IT"/>
              </w:rPr>
            </w:pPr>
            <w:r w:rsidRPr="00DD6E59">
              <w:rPr>
                <w:b/>
                <w:bCs/>
                <w:sz w:val="20"/>
                <w:lang w:val="it-IT"/>
              </w:rPr>
              <w:t>AZIENDA AGRICOLA SILVERFUNGHI S.A.S.</w:t>
            </w:r>
          </w:p>
          <w:p w:rsidR="00DD6E59" w:rsidRPr="00DD6E59" w:rsidRDefault="00DD6E59" w:rsidP="009B0194">
            <w:pPr>
              <w:pStyle w:val="ECHRPara"/>
              <w:ind w:firstLine="0"/>
              <w:rPr>
                <w:bCs/>
                <w:sz w:val="20"/>
                <w:lang w:val="it-IT"/>
              </w:rPr>
            </w:pPr>
            <w:r w:rsidRPr="00DD6E59">
              <w:rPr>
                <w:bCs/>
                <w:sz w:val="20"/>
                <w:lang w:val="it-IT"/>
              </w:rPr>
              <w:t>AZIENDA AGRICOLA SILVERFUNGHI S.A.S.</w:t>
            </w:r>
          </w:p>
          <w:p w:rsidR="00DD6E59" w:rsidRPr="006475C4" w:rsidRDefault="00DD6E59" w:rsidP="009B0194">
            <w:pPr>
              <w:pStyle w:val="ECHRPara"/>
              <w:ind w:firstLine="0"/>
              <w:rPr>
                <w:bCs/>
                <w:sz w:val="20"/>
              </w:rPr>
            </w:pPr>
            <w:r w:rsidRPr="006475C4">
              <w:rPr>
                <w:bCs/>
                <w:sz w:val="20"/>
              </w:rPr>
              <w:t>Grone</w:t>
            </w:r>
          </w:p>
          <w:p w:rsidR="00DD6E59" w:rsidRPr="006475C4" w:rsidRDefault="00DD6E59" w:rsidP="009B0194">
            <w:pPr>
              <w:pStyle w:val="ECHRPara"/>
              <w:ind w:firstLine="0"/>
              <w:rPr>
                <w:bCs/>
                <w:sz w:val="20"/>
              </w:rPr>
            </w:pPr>
          </w:p>
        </w:tc>
      </w:tr>
      <w:tr w:rsidR="00DD6E59" w:rsidRPr="00D753CA" w:rsidTr="00784828">
        <w:trPr>
          <w:trHeight w:val="711"/>
        </w:trPr>
        <w:tc>
          <w:tcPr>
            <w:tcW w:w="507" w:type="dxa"/>
          </w:tcPr>
          <w:p w:rsidR="00DD6E59" w:rsidRPr="006475C4" w:rsidRDefault="00DD6E59" w:rsidP="009B0194">
            <w:pPr>
              <w:pStyle w:val="ECHRPara"/>
              <w:numPr>
                <w:ilvl w:val="0"/>
                <w:numId w:val="15"/>
              </w:numPr>
              <w:ind w:left="357" w:hanging="357"/>
              <w:jc w:val="left"/>
              <w:rPr>
                <w:b/>
                <w:sz w:val="20"/>
              </w:rPr>
            </w:pPr>
          </w:p>
        </w:tc>
        <w:tc>
          <w:tcPr>
            <w:tcW w:w="1203" w:type="dxa"/>
          </w:tcPr>
          <w:p w:rsidR="00DD6E59" w:rsidRPr="006475C4" w:rsidRDefault="00DD6E59" w:rsidP="009B0194">
            <w:pPr>
              <w:pStyle w:val="ECHRPara"/>
              <w:ind w:firstLine="0"/>
              <w:rPr>
                <w:bCs/>
                <w:sz w:val="20"/>
              </w:rPr>
            </w:pPr>
            <w:r w:rsidRPr="006475C4">
              <w:rPr>
                <w:bCs/>
                <w:sz w:val="20"/>
              </w:rPr>
              <w:t>52677/07</w:t>
            </w:r>
          </w:p>
        </w:tc>
        <w:tc>
          <w:tcPr>
            <w:tcW w:w="1233" w:type="dxa"/>
          </w:tcPr>
          <w:p w:rsidR="00DD6E59" w:rsidRPr="006475C4" w:rsidRDefault="00DD6E59" w:rsidP="009B0194">
            <w:pPr>
              <w:pStyle w:val="ECHRPara"/>
              <w:ind w:hanging="9"/>
              <w:rPr>
                <w:bCs/>
                <w:sz w:val="20"/>
              </w:rPr>
            </w:pPr>
            <w:r w:rsidRPr="006475C4">
              <w:rPr>
                <w:bCs/>
                <w:sz w:val="20"/>
              </w:rPr>
              <w:t>28/11/2007</w:t>
            </w:r>
          </w:p>
        </w:tc>
        <w:tc>
          <w:tcPr>
            <w:tcW w:w="5529" w:type="dxa"/>
          </w:tcPr>
          <w:p w:rsidR="00DD6E59" w:rsidRPr="006475C4" w:rsidRDefault="00DD6E59" w:rsidP="009B0194">
            <w:pPr>
              <w:pStyle w:val="ECHRPara"/>
              <w:ind w:firstLine="0"/>
              <w:rPr>
                <w:b/>
                <w:bCs/>
                <w:sz w:val="20"/>
              </w:rPr>
            </w:pPr>
            <w:r w:rsidRPr="006475C4">
              <w:rPr>
                <w:b/>
                <w:bCs/>
                <w:sz w:val="20"/>
              </w:rPr>
              <w:t>SCARPELLINI S.R.L.</w:t>
            </w:r>
          </w:p>
          <w:p w:rsidR="00DD6E59" w:rsidRPr="006475C4" w:rsidRDefault="00DD6E59" w:rsidP="009B0194">
            <w:pPr>
              <w:pStyle w:val="ECHRPara"/>
              <w:ind w:firstLine="0"/>
              <w:rPr>
                <w:bCs/>
                <w:sz w:val="20"/>
              </w:rPr>
            </w:pPr>
            <w:r w:rsidRPr="006475C4">
              <w:rPr>
                <w:bCs/>
                <w:sz w:val="20"/>
              </w:rPr>
              <w:t>SCARPELLINI S.R.L.</w:t>
            </w:r>
          </w:p>
          <w:p w:rsidR="00DD6E59" w:rsidRPr="006475C4" w:rsidRDefault="00DD6E59" w:rsidP="009B0194">
            <w:pPr>
              <w:pStyle w:val="ECHRPara"/>
              <w:ind w:firstLine="0"/>
              <w:rPr>
                <w:bCs/>
                <w:sz w:val="20"/>
              </w:rPr>
            </w:pPr>
            <w:r w:rsidRPr="006475C4">
              <w:rPr>
                <w:bCs/>
                <w:sz w:val="20"/>
              </w:rPr>
              <w:t>Roma</w:t>
            </w:r>
          </w:p>
          <w:p w:rsidR="00DD6E59" w:rsidRPr="006475C4" w:rsidRDefault="00DD6E59" w:rsidP="009B0194">
            <w:pPr>
              <w:pStyle w:val="ECHRPara"/>
              <w:ind w:firstLine="0"/>
              <w:rPr>
                <w:bCs/>
                <w:sz w:val="20"/>
              </w:rPr>
            </w:pPr>
          </w:p>
        </w:tc>
      </w:tr>
      <w:tr w:rsidR="00DD6E59" w:rsidRPr="000B55DE" w:rsidTr="00784828">
        <w:trPr>
          <w:trHeight w:val="711"/>
        </w:trPr>
        <w:tc>
          <w:tcPr>
            <w:tcW w:w="507" w:type="dxa"/>
          </w:tcPr>
          <w:p w:rsidR="00DD6E59" w:rsidRPr="006475C4" w:rsidRDefault="00DD6E59" w:rsidP="009B0194">
            <w:pPr>
              <w:pStyle w:val="ECHRPara"/>
              <w:numPr>
                <w:ilvl w:val="0"/>
                <w:numId w:val="15"/>
              </w:numPr>
              <w:ind w:left="357" w:hanging="357"/>
              <w:jc w:val="left"/>
              <w:rPr>
                <w:b/>
                <w:sz w:val="20"/>
              </w:rPr>
            </w:pPr>
          </w:p>
        </w:tc>
        <w:tc>
          <w:tcPr>
            <w:tcW w:w="1203" w:type="dxa"/>
          </w:tcPr>
          <w:p w:rsidR="00DD6E59" w:rsidRPr="006475C4" w:rsidRDefault="00DD6E59" w:rsidP="009B0194">
            <w:pPr>
              <w:pStyle w:val="ECHRPara"/>
              <w:ind w:firstLine="0"/>
              <w:rPr>
                <w:bCs/>
                <w:sz w:val="20"/>
              </w:rPr>
            </w:pPr>
            <w:r w:rsidRPr="006475C4">
              <w:rPr>
                <w:bCs/>
                <w:sz w:val="20"/>
              </w:rPr>
              <w:t>52687/07</w:t>
            </w:r>
          </w:p>
        </w:tc>
        <w:tc>
          <w:tcPr>
            <w:tcW w:w="1233" w:type="dxa"/>
          </w:tcPr>
          <w:p w:rsidR="00DD6E59" w:rsidRPr="006475C4" w:rsidRDefault="00DD6E59" w:rsidP="009B0194">
            <w:pPr>
              <w:pStyle w:val="ECHRPara"/>
              <w:ind w:hanging="9"/>
              <w:rPr>
                <w:bCs/>
                <w:sz w:val="20"/>
              </w:rPr>
            </w:pPr>
            <w:r w:rsidRPr="006475C4">
              <w:rPr>
                <w:bCs/>
                <w:sz w:val="20"/>
              </w:rPr>
              <w:t>28/11/2007</w:t>
            </w:r>
          </w:p>
        </w:tc>
        <w:tc>
          <w:tcPr>
            <w:tcW w:w="5529" w:type="dxa"/>
          </w:tcPr>
          <w:p w:rsidR="00DD6E59" w:rsidRPr="00DD6E59" w:rsidRDefault="00DD6E59" w:rsidP="009B0194">
            <w:pPr>
              <w:pStyle w:val="ECHRPara"/>
              <w:ind w:firstLine="0"/>
              <w:rPr>
                <w:b/>
                <w:bCs/>
                <w:sz w:val="20"/>
                <w:lang w:val="it-IT"/>
              </w:rPr>
            </w:pPr>
            <w:r w:rsidRPr="00DD6E59">
              <w:rPr>
                <w:b/>
                <w:bCs/>
                <w:sz w:val="20"/>
                <w:lang w:val="it-IT"/>
              </w:rPr>
              <w:t>S.A.P. PIETRAFITTA S.R.L.</w:t>
            </w:r>
          </w:p>
          <w:p w:rsidR="00DD6E59" w:rsidRPr="00DD6E59" w:rsidRDefault="00DD6E59" w:rsidP="009B0194">
            <w:pPr>
              <w:pStyle w:val="ECHRPara"/>
              <w:ind w:firstLine="0"/>
              <w:rPr>
                <w:bCs/>
                <w:sz w:val="20"/>
                <w:lang w:val="it-IT"/>
              </w:rPr>
            </w:pPr>
            <w:r w:rsidRPr="00DD6E59">
              <w:rPr>
                <w:bCs/>
                <w:sz w:val="20"/>
                <w:lang w:val="it-IT"/>
              </w:rPr>
              <w:t>S.A.P. PIETRAFITTA S.R.L.</w:t>
            </w:r>
          </w:p>
          <w:p w:rsidR="00DD6E59" w:rsidRPr="006475C4" w:rsidRDefault="00DD6E59" w:rsidP="009B0194">
            <w:pPr>
              <w:pStyle w:val="ECHRPara"/>
              <w:ind w:firstLine="0"/>
              <w:rPr>
                <w:bCs/>
                <w:sz w:val="20"/>
              </w:rPr>
            </w:pPr>
            <w:r w:rsidRPr="006475C4">
              <w:rPr>
                <w:bCs/>
                <w:sz w:val="20"/>
              </w:rPr>
              <w:t>Siena</w:t>
            </w:r>
          </w:p>
        </w:tc>
      </w:tr>
      <w:tr w:rsidR="00DD6E59" w:rsidRPr="00CC17F5" w:rsidTr="00784828">
        <w:trPr>
          <w:trHeight w:val="711"/>
        </w:trPr>
        <w:tc>
          <w:tcPr>
            <w:tcW w:w="507" w:type="dxa"/>
          </w:tcPr>
          <w:p w:rsidR="00DD6E59" w:rsidRPr="006475C4" w:rsidRDefault="00DD6E59" w:rsidP="009B0194">
            <w:pPr>
              <w:pStyle w:val="ECHRPara"/>
              <w:numPr>
                <w:ilvl w:val="0"/>
                <w:numId w:val="15"/>
              </w:numPr>
              <w:ind w:left="357" w:hanging="357"/>
              <w:jc w:val="left"/>
              <w:rPr>
                <w:b/>
                <w:sz w:val="20"/>
              </w:rPr>
            </w:pPr>
          </w:p>
        </w:tc>
        <w:tc>
          <w:tcPr>
            <w:tcW w:w="1203" w:type="dxa"/>
          </w:tcPr>
          <w:p w:rsidR="00DD6E59" w:rsidRPr="006475C4" w:rsidRDefault="00DD6E59" w:rsidP="009B0194">
            <w:pPr>
              <w:pStyle w:val="ECHRPara"/>
              <w:ind w:firstLine="0"/>
              <w:rPr>
                <w:bCs/>
                <w:sz w:val="20"/>
              </w:rPr>
            </w:pPr>
            <w:r w:rsidRPr="006475C4">
              <w:rPr>
                <w:bCs/>
                <w:sz w:val="20"/>
              </w:rPr>
              <w:t>52701/07</w:t>
            </w:r>
          </w:p>
        </w:tc>
        <w:tc>
          <w:tcPr>
            <w:tcW w:w="1233" w:type="dxa"/>
          </w:tcPr>
          <w:p w:rsidR="00DD6E59" w:rsidRPr="006475C4" w:rsidRDefault="00DD6E59" w:rsidP="009B0194">
            <w:pPr>
              <w:pStyle w:val="ECHRPara"/>
              <w:ind w:hanging="9"/>
              <w:rPr>
                <w:bCs/>
                <w:sz w:val="20"/>
              </w:rPr>
            </w:pPr>
            <w:r w:rsidRPr="006475C4">
              <w:rPr>
                <w:bCs/>
                <w:sz w:val="20"/>
              </w:rPr>
              <w:t>28/11/2007</w:t>
            </w:r>
          </w:p>
        </w:tc>
        <w:tc>
          <w:tcPr>
            <w:tcW w:w="5529" w:type="dxa"/>
          </w:tcPr>
          <w:p w:rsidR="00DD6E59" w:rsidRPr="00DD6E59" w:rsidRDefault="00DD6E59" w:rsidP="009B0194">
            <w:pPr>
              <w:pStyle w:val="ECHRPara"/>
              <w:ind w:firstLine="0"/>
              <w:rPr>
                <w:b/>
                <w:bCs/>
                <w:sz w:val="20"/>
                <w:lang w:val="it-IT"/>
              </w:rPr>
            </w:pPr>
            <w:r w:rsidRPr="00DD6E59">
              <w:rPr>
                <w:b/>
                <w:bCs/>
                <w:sz w:val="20"/>
                <w:lang w:val="it-IT"/>
              </w:rPr>
              <w:t>FLORICOLTURA ZANCHI DI ZANCHI F.LLI SOCIETA SEMPLICE</w:t>
            </w:r>
          </w:p>
          <w:p w:rsidR="00DD6E59" w:rsidRPr="00DD6E59" w:rsidRDefault="00DD6E59" w:rsidP="009B0194">
            <w:pPr>
              <w:pStyle w:val="ECHRPara"/>
              <w:ind w:firstLine="0"/>
              <w:rPr>
                <w:bCs/>
                <w:sz w:val="20"/>
                <w:lang w:val="it-IT"/>
              </w:rPr>
            </w:pPr>
            <w:r w:rsidRPr="00DD6E59">
              <w:rPr>
                <w:bCs/>
                <w:sz w:val="20"/>
                <w:lang w:val="it-IT"/>
              </w:rPr>
              <w:t>FLORICOLTURA ZANCHI DI ZANCHI F.LLI SOCIETA SEMPLICE</w:t>
            </w:r>
          </w:p>
          <w:p w:rsidR="00DD6E59" w:rsidRPr="006475C4" w:rsidRDefault="00DD6E59" w:rsidP="009B0194">
            <w:pPr>
              <w:pStyle w:val="ECHRPara"/>
              <w:ind w:firstLine="0"/>
              <w:rPr>
                <w:bCs/>
                <w:sz w:val="20"/>
              </w:rPr>
            </w:pPr>
            <w:r w:rsidRPr="006475C4">
              <w:rPr>
                <w:bCs/>
                <w:sz w:val="20"/>
              </w:rPr>
              <w:t>Roma</w:t>
            </w:r>
          </w:p>
          <w:p w:rsidR="00DD6E59" w:rsidRPr="006475C4" w:rsidRDefault="00DD6E59" w:rsidP="009B0194">
            <w:pPr>
              <w:pStyle w:val="ECHRPara"/>
              <w:ind w:firstLine="0"/>
              <w:rPr>
                <w:bCs/>
                <w:sz w:val="20"/>
              </w:rPr>
            </w:pPr>
          </w:p>
        </w:tc>
      </w:tr>
    </w:tbl>
    <w:p w:rsidR="007E5B94" w:rsidRDefault="007E5B94" w:rsidP="00291D2C">
      <w:pPr>
        <w:pStyle w:val="ECHRTitleCentre1"/>
        <w:jc w:val="both"/>
        <w:rPr>
          <w:lang w:val="en-GB"/>
        </w:rPr>
      </w:pPr>
    </w:p>
    <w:p w:rsidR="007E5B94" w:rsidRDefault="007E5B94" w:rsidP="009B0194">
      <w:pPr>
        <w:pStyle w:val="ECHRTitleCentre1"/>
        <w:rPr>
          <w:lang w:val="en-GB"/>
        </w:rPr>
        <w:sectPr w:rsidR="007E5B94" w:rsidSect="00855D64">
          <w:headerReference w:type="even" r:id="rId14"/>
          <w:pgSz w:w="11906" w:h="16838" w:code="9"/>
          <w:pgMar w:top="2274" w:right="2274" w:bottom="2274" w:left="2274" w:header="1701" w:footer="720" w:gutter="0"/>
          <w:cols w:space="720"/>
          <w:docGrid w:linePitch="326"/>
        </w:sectPr>
      </w:pPr>
    </w:p>
    <w:p w:rsidR="00675AE1" w:rsidRPr="0017160A" w:rsidRDefault="00675AE1" w:rsidP="009B0194">
      <w:pPr>
        <w:pStyle w:val="ECHRTitleCentre1"/>
        <w:rPr>
          <w:lang w:val="en-GB"/>
        </w:rPr>
      </w:pPr>
      <w:r w:rsidRPr="0017160A">
        <w:rPr>
          <w:lang w:val="en-GB"/>
        </w:rPr>
        <w:t>JOINT PARTLY DISSENTING OPINION OF JUDGES LEMMENS AND KŪRIS</w:t>
      </w:r>
    </w:p>
    <w:p w:rsidR="00675AE1" w:rsidRPr="0097302F" w:rsidRDefault="00675AE1" w:rsidP="009B0194">
      <w:pPr>
        <w:pStyle w:val="OpiPara"/>
        <w:rPr>
          <w:lang w:val="en-GB"/>
        </w:rPr>
      </w:pPr>
      <w:r w:rsidRPr="0097302F">
        <w:rPr>
          <w:lang w:val="en-GB"/>
        </w:rPr>
        <w:t>1. </w:t>
      </w:r>
      <w:r w:rsidR="00291D2C">
        <w:rPr>
          <w:lang w:val="en-GB"/>
        </w:rPr>
        <w:t> </w:t>
      </w:r>
      <w:r w:rsidRPr="0097302F">
        <w:rPr>
          <w:lang w:val="en-GB"/>
        </w:rPr>
        <w:t>We agree with the majority that there has been a violation of Article 6 § 1 of the Convention. To our regret, however, we cannot share the view that there has been no violation of Article 1 of Protocol No. 1 to the Convention. We also disagree on the amount of the just satisfaction to be awarded under Article 41 of the Convention.</w:t>
      </w:r>
    </w:p>
    <w:p w:rsidR="00675AE1" w:rsidRPr="0097302F" w:rsidRDefault="00675AE1" w:rsidP="009B0194">
      <w:pPr>
        <w:pStyle w:val="OpiPara"/>
        <w:rPr>
          <w:lang w:val="en-GB"/>
        </w:rPr>
      </w:pPr>
      <w:r w:rsidRPr="0097302F">
        <w:rPr>
          <w:lang w:val="en-GB"/>
        </w:rPr>
        <w:t>2.</w:t>
      </w:r>
      <w:r w:rsidR="00291D2C">
        <w:rPr>
          <w:lang w:val="en-GB"/>
        </w:rPr>
        <w:t> </w:t>
      </w:r>
      <w:r w:rsidRPr="0097302F">
        <w:rPr>
          <w:lang w:val="en-GB"/>
        </w:rPr>
        <w:t> Like the majority, we consider that the applicant</w:t>
      </w:r>
      <w:r>
        <w:rPr>
          <w:lang w:val="en-GB"/>
        </w:rPr>
        <w:t xml:space="preserve"> companie</w:t>
      </w:r>
      <w:r w:rsidRPr="0097302F">
        <w:rPr>
          <w:lang w:val="en-GB"/>
        </w:rPr>
        <w:t>s had claims which they could legitimately have expected to be determined in accordance with the applicable legislation as interpreted</w:t>
      </w:r>
      <w:r>
        <w:rPr>
          <w:lang w:val="en-GB"/>
        </w:rPr>
        <w:t xml:space="preserve"> and applied</w:t>
      </w:r>
      <w:r w:rsidRPr="0097302F">
        <w:rPr>
          <w:lang w:val="en-GB"/>
        </w:rPr>
        <w:t>, prior to the legislature</w:t>
      </w:r>
      <w:r w:rsidR="00864D90">
        <w:rPr>
          <w:lang w:val="en-GB"/>
        </w:rPr>
        <w:t>’</w:t>
      </w:r>
      <w:r w:rsidRPr="0097302F">
        <w:rPr>
          <w:lang w:val="en-GB"/>
        </w:rPr>
        <w:t>s intervention, by the domestic courts in at least one hundred and forty judgments, and that these claims were “possessions” within the meaning of Article 1 of Protocol No. 1 (see paragraph 98).</w:t>
      </w:r>
    </w:p>
    <w:p w:rsidR="00675AE1" w:rsidRPr="0097302F" w:rsidRDefault="00675AE1" w:rsidP="009B0194">
      <w:pPr>
        <w:pStyle w:val="OpiPara"/>
        <w:rPr>
          <w:lang w:val="en-GB"/>
        </w:rPr>
      </w:pPr>
      <w:r w:rsidRPr="0097302F">
        <w:rPr>
          <w:lang w:val="en-GB"/>
        </w:rPr>
        <w:t>3.</w:t>
      </w:r>
      <w:r w:rsidR="00291D2C">
        <w:rPr>
          <w:lang w:val="en-GB"/>
        </w:rPr>
        <w:t> </w:t>
      </w:r>
      <w:r w:rsidRPr="0097302F">
        <w:rPr>
          <w:lang w:val="en-GB"/>
        </w:rPr>
        <w:t xml:space="preserve"> The majority </w:t>
      </w:r>
      <w:r>
        <w:rPr>
          <w:lang w:val="en-GB"/>
        </w:rPr>
        <w:t xml:space="preserve">further </w:t>
      </w:r>
      <w:r w:rsidRPr="0097302F">
        <w:rPr>
          <w:lang w:val="en-GB"/>
        </w:rPr>
        <w:t>consider</w:t>
      </w:r>
      <w:r>
        <w:rPr>
          <w:lang w:val="en-GB"/>
        </w:rPr>
        <w:t>s</w:t>
      </w:r>
      <w:r w:rsidRPr="0097302F">
        <w:rPr>
          <w:lang w:val="en-GB"/>
        </w:rPr>
        <w:t xml:space="preserve"> that “the present case concerns the failure of the applicant companies to benefit from a double reduction on the social welfare contributions they pay in respect of their employees”. On that premise, the majority considers that the interference with the applicant</w:t>
      </w:r>
      <w:r>
        <w:rPr>
          <w:lang w:val="en-GB"/>
        </w:rPr>
        <w:t xml:space="preserve"> companie</w:t>
      </w:r>
      <w:r w:rsidRPr="0097302F">
        <w:rPr>
          <w:lang w:val="en-GB"/>
        </w:rPr>
        <w:t>s</w:t>
      </w:r>
      <w:r w:rsidR="00864D90">
        <w:rPr>
          <w:lang w:val="en-GB"/>
        </w:rPr>
        <w:t>’</w:t>
      </w:r>
      <w:r w:rsidRPr="0097302F">
        <w:rPr>
          <w:lang w:val="en-GB"/>
        </w:rPr>
        <w:t xml:space="preserve"> claims falls within the scope of the rule contained in the second paragraph of Article 1 of Protocol No. 1, that is, the rule which allows a State “to enforce such laws as it deems necessary ... to secure the payment of taxes or other contributions ...” (see paragraph 100).</w:t>
      </w:r>
    </w:p>
    <w:p w:rsidR="00675AE1" w:rsidRPr="0097302F" w:rsidRDefault="00675AE1" w:rsidP="009B0194">
      <w:pPr>
        <w:pStyle w:val="OpiPara"/>
        <w:rPr>
          <w:lang w:val="en-GB"/>
        </w:rPr>
      </w:pPr>
      <w:r w:rsidRPr="0097302F">
        <w:rPr>
          <w:lang w:val="en-GB"/>
        </w:rPr>
        <w:t>4.</w:t>
      </w:r>
      <w:r w:rsidR="00291D2C">
        <w:rPr>
          <w:lang w:val="en-GB"/>
        </w:rPr>
        <w:t> </w:t>
      </w:r>
      <w:r w:rsidRPr="0097302F">
        <w:rPr>
          <w:lang w:val="en-GB"/>
        </w:rPr>
        <w:t> By examining the complaint from the perspective of Article 1</w:t>
      </w:r>
      <w:r>
        <w:rPr>
          <w:lang w:val="en-GB"/>
        </w:rPr>
        <w:t>, second paragraph</w:t>
      </w:r>
      <w:r w:rsidRPr="0097302F">
        <w:rPr>
          <w:lang w:val="en-GB"/>
        </w:rPr>
        <w:t>, the majority seems to consider that the applicant</w:t>
      </w:r>
      <w:r>
        <w:rPr>
          <w:lang w:val="en-GB"/>
        </w:rPr>
        <w:t xml:space="preserve"> companie</w:t>
      </w:r>
      <w:r w:rsidRPr="0097302F">
        <w:rPr>
          <w:lang w:val="en-GB"/>
        </w:rPr>
        <w:t xml:space="preserve">s are complaining about the fact that they could no longer enjoy the advantage created by Legislative Decree No. 536 of 30 December 1987, converted into statutory law by Law No. 48 of 29 February 1988. If that had indeed been the complaint, the Court would have had to examine whether there was some sort of legitimate expectation that the legal regime established in 1988 would remain in place for an indefinite period of time. We find it difficult to accept that such an expectation would exist, thus making it impossible, or at least very difficult, for the legislature to ever change the law </w:t>
      </w:r>
      <w:r w:rsidRPr="0097302F">
        <w:rPr>
          <w:i/>
          <w:lang w:val="en-GB"/>
        </w:rPr>
        <w:t>ex nunc</w:t>
      </w:r>
      <w:r w:rsidRPr="0097302F">
        <w:rPr>
          <w:lang w:val="en-GB"/>
        </w:rPr>
        <w:t>.</w:t>
      </w:r>
    </w:p>
    <w:p w:rsidR="00675AE1" w:rsidRPr="0097302F" w:rsidRDefault="00675AE1" w:rsidP="009B0194">
      <w:pPr>
        <w:pStyle w:val="OpiPara"/>
        <w:rPr>
          <w:lang w:val="en-GB"/>
        </w:rPr>
      </w:pPr>
      <w:r w:rsidRPr="0097302F">
        <w:rPr>
          <w:lang w:val="en-GB"/>
        </w:rPr>
        <w:t>5. </w:t>
      </w:r>
      <w:r w:rsidR="00291D2C">
        <w:rPr>
          <w:lang w:val="en-GB"/>
        </w:rPr>
        <w:t> </w:t>
      </w:r>
      <w:r w:rsidRPr="0097302F">
        <w:rPr>
          <w:lang w:val="en-GB"/>
        </w:rPr>
        <w:t>With all due respect, however, we are afraid that the majority has attributed to the applicant</w:t>
      </w:r>
      <w:r>
        <w:rPr>
          <w:lang w:val="en-GB"/>
        </w:rPr>
        <w:t xml:space="preserve"> companie</w:t>
      </w:r>
      <w:r w:rsidRPr="0097302F">
        <w:rPr>
          <w:lang w:val="en-GB"/>
        </w:rPr>
        <w:t>s a complaint that they did not make. Or rather, the majority has overlooked the crux of the complaint actually made. We read in the applicant</w:t>
      </w:r>
      <w:r>
        <w:rPr>
          <w:lang w:val="en-GB"/>
        </w:rPr>
        <w:t xml:space="preserve"> companie</w:t>
      </w:r>
      <w:r w:rsidRPr="0097302F">
        <w:rPr>
          <w:lang w:val="en-GB"/>
        </w:rPr>
        <w:t>s</w:t>
      </w:r>
      <w:r w:rsidR="00864D90">
        <w:rPr>
          <w:lang w:val="en-GB"/>
        </w:rPr>
        <w:t>’</w:t>
      </w:r>
      <w:r w:rsidRPr="0097302F">
        <w:rPr>
          <w:lang w:val="en-GB"/>
        </w:rPr>
        <w:t xml:space="preserve"> submissions that they in fact presented for the Court</w:t>
      </w:r>
      <w:r w:rsidR="00864D90">
        <w:rPr>
          <w:lang w:val="en-GB"/>
        </w:rPr>
        <w:t>’</w:t>
      </w:r>
      <w:r w:rsidRPr="0097302F">
        <w:rPr>
          <w:lang w:val="en-GB"/>
        </w:rPr>
        <w:t xml:space="preserve">s examination </w:t>
      </w:r>
      <w:r w:rsidRPr="0097302F">
        <w:rPr>
          <w:i/>
          <w:lang w:val="en-GB"/>
        </w:rPr>
        <w:t>one single complaint</w:t>
      </w:r>
      <w:r w:rsidRPr="0097302F">
        <w:rPr>
          <w:lang w:val="en-GB"/>
        </w:rPr>
        <w:t xml:space="preserve">, which relates to the </w:t>
      </w:r>
      <w:r w:rsidRPr="0097302F">
        <w:rPr>
          <w:i/>
          <w:lang w:val="en-GB"/>
        </w:rPr>
        <w:t>retrospective effect</w:t>
      </w:r>
      <w:r w:rsidRPr="0097302F">
        <w:rPr>
          <w:lang w:val="en-GB"/>
        </w:rPr>
        <w:t xml:space="preserve"> of the “authentic interpretation” given by Law No. 326 of 24 November 2003 to Law No. 67 of 11 March 1988. It does not appear to us that they raised two substantially different complaints. On the contrary, they complained that, solely by </w:t>
      </w:r>
      <w:r>
        <w:rPr>
          <w:lang w:val="en-GB"/>
        </w:rPr>
        <w:t xml:space="preserve">the fact of </w:t>
      </w:r>
      <w:r w:rsidRPr="0097302F">
        <w:rPr>
          <w:lang w:val="en-GB"/>
        </w:rPr>
        <w:t xml:space="preserve">enacting the “interpretative law”, the legislature </w:t>
      </w:r>
      <w:r w:rsidRPr="0097302F">
        <w:rPr>
          <w:i/>
          <w:lang w:val="en-GB"/>
        </w:rPr>
        <w:t>simultaneously</w:t>
      </w:r>
      <w:r w:rsidRPr="0097302F">
        <w:rPr>
          <w:lang w:val="en-GB"/>
        </w:rPr>
        <w:t xml:space="preserve"> violated both Article 6 §</w:t>
      </w:r>
      <w:r>
        <w:rPr>
          <w:lang w:val="en-GB"/>
        </w:rPr>
        <w:t> </w:t>
      </w:r>
      <w:r w:rsidRPr="0097302F">
        <w:rPr>
          <w:lang w:val="en-GB"/>
        </w:rPr>
        <w:t>1 of the Convention and Article 1 of Protocol No. 1: it violated Article 6 §</w:t>
      </w:r>
      <w:r>
        <w:rPr>
          <w:lang w:val="en-GB"/>
        </w:rPr>
        <w:t> </w:t>
      </w:r>
      <w:r w:rsidRPr="0097302F">
        <w:rPr>
          <w:lang w:val="en-GB"/>
        </w:rPr>
        <w:t xml:space="preserve">1 in that the new law interfered with the judicial determination of pending disputes, and it violated Article 1 of Protocol No. 1 in that the </w:t>
      </w:r>
      <w:r>
        <w:rPr>
          <w:lang w:val="en-GB"/>
        </w:rPr>
        <w:t xml:space="preserve">new </w:t>
      </w:r>
      <w:r w:rsidRPr="0097302F">
        <w:rPr>
          <w:lang w:val="en-GB"/>
        </w:rPr>
        <w:t>law abolished claims in respect of which the applicants had a legitimate expectation that they would be upheld by the courts. However, when the majority examined the complaint under Article 1 of Protocol No. 1, it detached it from the Article 6 § 1 complaint and barely mentioned the fact that the law in question had a retrospective effect (see paragraph 103).</w:t>
      </w:r>
    </w:p>
    <w:p w:rsidR="00675AE1" w:rsidRPr="0097302F" w:rsidRDefault="00675AE1" w:rsidP="009B0194">
      <w:pPr>
        <w:pStyle w:val="OpiPara"/>
        <w:rPr>
          <w:lang w:val="en-GB"/>
        </w:rPr>
      </w:pPr>
      <w:r w:rsidRPr="0097302F">
        <w:rPr>
          <w:lang w:val="en-GB"/>
        </w:rPr>
        <w:t>6. </w:t>
      </w:r>
      <w:r w:rsidR="00291D2C">
        <w:rPr>
          <w:lang w:val="en-GB"/>
        </w:rPr>
        <w:t> </w:t>
      </w:r>
      <w:r w:rsidRPr="0097302F">
        <w:rPr>
          <w:lang w:val="en-GB"/>
        </w:rPr>
        <w:t>We would also like to point out that the applicant</w:t>
      </w:r>
      <w:r>
        <w:rPr>
          <w:lang w:val="en-GB"/>
        </w:rPr>
        <w:t xml:space="preserve"> companie</w:t>
      </w:r>
      <w:r w:rsidRPr="0097302F">
        <w:rPr>
          <w:lang w:val="en-GB"/>
        </w:rPr>
        <w:t xml:space="preserve">s, as parties </w:t>
      </w:r>
      <w:r>
        <w:rPr>
          <w:lang w:val="en-GB"/>
        </w:rPr>
        <w:t xml:space="preserve">to </w:t>
      </w:r>
      <w:r w:rsidRPr="0097302F">
        <w:rPr>
          <w:lang w:val="en-GB"/>
        </w:rPr>
        <w:t>the domestic proceedings, exercised their rights under Article 6 §</w:t>
      </w:r>
      <w:r>
        <w:rPr>
          <w:lang w:val="en-GB"/>
        </w:rPr>
        <w:t> </w:t>
      </w:r>
      <w:r w:rsidRPr="0097302F">
        <w:rPr>
          <w:lang w:val="en-GB"/>
        </w:rPr>
        <w:t xml:space="preserve">1 in order to obtain the “determination” of certain “civil rights”. The present judgment does not enter into detail with respect to the nature of these civil rights. However, it is clear that the applicants, in claiming the return of certain sums paid by them to the </w:t>
      </w:r>
      <w:r w:rsidRPr="0097302F">
        <w:rPr>
          <w:i/>
          <w:lang w:val="en-GB"/>
        </w:rPr>
        <w:t>Istituto Nazionale della Previdenza Sociale</w:t>
      </w:r>
      <w:r w:rsidRPr="0097302F">
        <w:rPr>
          <w:lang w:val="en-GB"/>
        </w:rPr>
        <w:t xml:space="preserve"> (INPS), invoked civil rights of a proprietary nature. By declaring the applicants</w:t>
      </w:r>
      <w:r w:rsidR="00864D90">
        <w:rPr>
          <w:lang w:val="en-GB"/>
        </w:rPr>
        <w:t>’</w:t>
      </w:r>
      <w:r w:rsidRPr="0097302F">
        <w:rPr>
          <w:lang w:val="en-GB"/>
        </w:rPr>
        <w:t xml:space="preserve"> claims well-founded, the domestic courts turned them into claims that constituted “possessions” within the meaning of Article 1 of Protocol No. 1. The partial finding of a violation of the Convention, namely one of Article 6 § 1 but not of Article 1 of Protocol No.</w:t>
      </w:r>
      <w:r>
        <w:rPr>
          <w:lang w:val="en-GB"/>
        </w:rPr>
        <w:t> </w:t>
      </w:r>
      <w:r w:rsidRPr="0097302F">
        <w:rPr>
          <w:lang w:val="en-GB"/>
        </w:rPr>
        <w:t xml:space="preserve">1, </w:t>
      </w:r>
      <w:r>
        <w:rPr>
          <w:lang w:val="en-GB"/>
        </w:rPr>
        <w:t xml:space="preserve">is internally inconsistent, as it </w:t>
      </w:r>
      <w:r w:rsidRPr="0097302F">
        <w:rPr>
          <w:lang w:val="en-GB"/>
        </w:rPr>
        <w:t>tends to create the wrong impression that the finding of a violation of the right to a fair trial is in itself sufficient. We would like to emphasise that the domestic courts were unable to recognise the existence of the rights for which the applicant</w:t>
      </w:r>
      <w:r>
        <w:rPr>
          <w:lang w:val="en-GB"/>
        </w:rPr>
        <w:t xml:space="preserve"> companie</w:t>
      </w:r>
      <w:r w:rsidRPr="0097302F">
        <w:rPr>
          <w:lang w:val="en-GB"/>
        </w:rPr>
        <w:t>s sought a judicial determination precisely because of the legislature</w:t>
      </w:r>
      <w:r w:rsidR="00864D90">
        <w:rPr>
          <w:lang w:val="en-GB"/>
        </w:rPr>
        <w:t>’</w:t>
      </w:r>
      <w:r w:rsidRPr="0097302F">
        <w:rPr>
          <w:lang w:val="en-GB"/>
        </w:rPr>
        <w:t>s interference.</w:t>
      </w:r>
    </w:p>
    <w:p w:rsidR="00675AE1" w:rsidRPr="0097302F" w:rsidRDefault="00675AE1" w:rsidP="009B0194">
      <w:pPr>
        <w:pStyle w:val="OpiPara"/>
        <w:rPr>
          <w:lang w:val="en-GB"/>
        </w:rPr>
      </w:pPr>
      <w:r w:rsidRPr="0097302F">
        <w:rPr>
          <w:lang w:val="en-GB"/>
        </w:rPr>
        <w:t>7. </w:t>
      </w:r>
      <w:r w:rsidR="00291D2C">
        <w:rPr>
          <w:lang w:val="en-GB"/>
        </w:rPr>
        <w:t> </w:t>
      </w:r>
      <w:r w:rsidRPr="0097302F">
        <w:rPr>
          <w:lang w:val="en-GB"/>
        </w:rPr>
        <w:t xml:space="preserve">By </w:t>
      </w:r>
      <w:r>
        <w:rPr>
          <w:lang w:val="en-GB"/>
        </w:rPr>
        <w:t xml:space="preserve">downplaying </w:t>
      </w:r>
      <w:r w:rsidRPr="0097302F">
        <w:rPr>
          <w:lang w:val="en-GB"/>
        </w:rPr>
        <w:t>the importance of the law</w:t>
      </w:r>
      <w:r w:rsidR="00864D90">
        <w:rPr>
          <w:lang w:val="en-GB"/>
        </w:rPr>
        <w:t>’</w:t>
      </w:r>
      <w:r w:rsidRPr="0097302F">
        <w:rPr>
          <w:lang w:val="en-GB"/>
        </w:rPr>
        <w:t xml:space="preserve">s retrospective effect for the examination of the complaint based on Article 1 of Protocol No. 1, the majority has in fact followed a line of reasoning that was initiated with </w:t>
      </w:r>
      <w:r w:rsidRPr="0097302F">
        <w:rPr>
          <w:i/>
          <w:lang w:val="en-GB"/>
        </w:rPr>
        <w:t>Maggio and Others v. Italy</w:t>
      </w:r>
      <w:r w:rsidRPr="0097302F">
        <w:rPr>
          <w:lang w:val="en-GB"/>
        </w:rPr>
        <w:t xml:space="preserve"> (nos. 46286/09, 52851/08, 53727/08, 54486/08 and 56001/08, 31 May 2011) and continued with </w:t>
      </w:r>
      <w:r w:rsidRPr="0097302F">
        <w:rPr>
          <w:i/>
          <w:lang w:val="en-GB"/>
        </w:rPr>
        <w:t>Arras and Others v. Italy</w:t>
      </w:r>
      <w:r w:rsidRPr="0097302F">
        <w:rPr>
          <w:lang w:val="en-GB"/>
        </w:rPr>
        <w:t xml:space="preserve"> (no. 17972/07, 14 February 2012). In these cases, the Court concluded that the retrospective reduction of social security or welfare benefits constituted a violation of Article 6 § 1, but not of Article 1 of Protocol No. 1. In two more recent cases the Court has had to deal, as in the present case, with interpretative laws: </w:t>
      </w:r>
      <w:r w:rsidRPr="0097302F">
        <w:rPr>
          <w:i/>
          <w:lang w:val="en-GB"/>
        </w:rPr>
        <w:t>M.C. and Others v. Italy</w:t>
      </w:r>
      <w:r w:rsidRPr="0097302F">
        <w:rPr>
          <w:lang w:val="en-GB"/>
        </w:rPr>
        <w:t xml:space="preserve"> (no. 5376/11, 3 September 2013) and</w:t>
      </w:r>
      <w:r w:rsidRPr="0097302F">
        <w:rPr>
          <w:i/>
          <w:lang w:val="en-GB"/>
        </w:rPr>
        <w:t xml:space="preserve"> Stefanetti and Others v. Italy</w:t>
      </w:r>
      <w:r w:rsidRPr="0097302F">
        <w:rPr>
          <w:lang w:val="en-GB"/>
        </w:rPr>
        <w:t xml:space="preserve"> (nos. 21838/10, 21849/10, 21852/10, 21822/10, 21860/10, 21863/10, 21869/10, and 21870/10, 15 April 2014, not yet final). In these cases, the Court</w:t>
      </w:r>
      <w:r>
        <w:rPr>
          <w:lang w:val="en-GB"/>
        </w:rPr>
        <w:t xml:space="preserve"> found that </w:t>
      </w:r>
      <w:r w:rsidRPr="0097302F">
        <w:rPr>
          <w:lang w:val="en-GB"/>
        </w:rPr>
        <w:t xml:space="preserve">Article 1 of Protocol No. 1 </w:t>
      </w:r>
      <w:r>
        <w:rPr>
          <w:lang w:val="en-GB"/>
        </w:rPr>
        <w:t xml:space="preserve">had been violated, but that conclusion was </w:t>
      </w:r>
      <w:r w:rsidRPr="0097302F">
        <w:rPr>
          <w:lang w:val="en-GB"/>
        </w:rPr>
        <w:t xml:space="preserve">not decisively based on the retrospective effect of the </w:t>
      </w:r>
      <w:r>
        <w:rPr>
          <w:lang w:val="en-GB"/>
        </w:rPr>
        <w:t>“</w:t>
      </w:r>
      <w:r w:rsidRPr="0097302F">
        <w:rPr>
          <w:lang w:val="en-GB"/>
        </w:rPr>
        <w:t>interpretative</w:t>
      </w:r>
      <w:r>
        <w:rPr>
          <w:lang w:val="en-GB"/>
        </w:rPr>
        <w:t>”</w:t>
      </w:r>
      <w:r w:rsidRPr="0097302F">
        <w:rPr>
          <w:lang w:val="en-GB"/>
        </w:rPr>
        <w:t xml:space="preserve"> law. In that sense, these cases follow the </w:t>
      </w:r>
      <w:r w:rsidRPr="0097302F">
        <w:rPr>
          <w:i/>
          <w:lang w:val="en-GB"/>
        </w:rPr>
        <w:t>Maggio</w:t>
      </w:r>
      <w:r w:rsidRPr="0097302F">
        <w:rPr>
          <w:lang w:val="en-GB"/>
        </w:rPr>
        <w:t>-</w:t>
      </w:r>
      <w:r w:rsidRPr="0097302F">
        <w:rPr>
          <w:i/>
          <w:lang w:val="en-GB"/>
        </w:rPr>
        <w:t>Arras</w:t>
      </w:r>
      <w:r w:rsidRPr="0097302F">
        <w:rPr>
          <w:lang w:val="en-GB"/>
        </w:rPr>
        <w:t xml:space="preserve"> line of reasoning. However, </w:t>
      </w:r>
      <w:r>
        <w:rPr>
          <w:lang w:val="en-GB"/>
        </w:rPr>
        <w:t xml:space="preserve">while </w:t>
      </w:r>
      <w:r w:rsidRPr="0097302F">
        <w:rPr>
          <w:lang w:val="en-GB"/>
        </w:rPr>
        <w:t xml:space="preserve">in </w:t>
      </w:r>
      <w:r w:rsidRPr="0097302F">
        <w:rPr>
          <w:i/>
          <w:lang w:val="en-GB"/>
        </w:rPr>
        <w:t>M.C.</w:t>
      </w:r>
      <w:r w:rsidRPr="0097302F">
        <w:rPr>
          <w:lang w:val="en-GB"/>
        </w:rPr>
        <w:t xml:space="preserve"> and </w:t>
      </w:r>
      <w:r w:rsidRPr="0097302F">
        <w:rPr>
          <w:i/>
          <w:lang w:val="en-GB"/>
        </w:rPr>
        <w:t>Stefanetti</w:t>
      </w:r>
      <w:r w:rsidRPr="0097302F">
        <w:rPr>
          <w:lang w:val="en-GB"/>
        </w:rPr>
        <w:t xml:space="preserve"> the Court </w:t>
      </w:r>
      <w:r>
        <w:rPr>
          <w:lang w:val="en-GB"/>
        </w:rPr>
        <w:t xml:space="preserve">still </w:t>
      </w:r>
      <w:r w:rsidRPr="0097302F">
        <w:rPr>
          <w:lang w:val="en-GB"/>
        </w:rPr>
        <w:t>found a violation not only of Article 6 § 1 of the Convention, but also of Article 1 of Protocol No.</w:t>
      </w:r>
      <w:r>
        <w:rPr>
          <w:lang w:val="en-GB"/>
        </w:rPr>
        <w:t>1, i</w:t>
      </w:r>
      <w:r w:rsidRPr="0097302F">
        <w:rPr>
          <w:lang w:val="en-GB"/>
        </w:rPr>
        <w:t xml:space="preserve">n the present case the majority concludes that there has been </w:t>
      </w:r>
      <w:r>
        <w:rPr>
          <w:lang w:val="en-GB"/>
        </w:rPr>
        <w:t xml:space="preserve">a </w:t>
      </w:r>
      <w:r w:rsidRPr="0097302F">
        <w:rPr>
          <w:lang w:val="en-GB"/>
        </w:rPr>
        <w:t xml:space="preserve">violation </w:t>
      </w:r>
      <w:r>
        <w:rPr>
          <w:lang w:val="en-GB"/>
        </w:rPr>
        <w:t xml:space="preserve">only </w:t>
      </w:r>
      <w:r w:rsidRPr="0097302F">
        <w:rPr>
          <w:lang w:val="en-GB"/>
        </w:rPr>
        <w:t>of Article </w:t>
      </w:r>
      <w:r>
        <w:rPr>
          <w:lang w:val="en-GB"/>
        </w:rPr>
        <w:t xml:space="preserve">6 § 1, not of Article </w:t>
      </w:r>
      <w:r w:rsidRPr="0097302F">
        <w:rPr>
          <w:lang w:val="en-GB"/>
        </w:rPr>
        <w:t>1 of Protocol No. 1. The majority thus seems to cross a new line.</w:t>
      </w:r>
    </w:p>
    <w:p w:rsidR="00632A2E" w:rsidRDefault="00675AE1" w:rsidP="009B0194">
      <w:pPr>
        <w:pStyle w:val="OpiPara"/>
        <w:rPr>
          <w:lang w:val="en-GB"/>
        </w:rPr>
      </w:pPr>
      <w:r w:rsidRPr="0097302F">
        <w:rPr>
          <w:lang w:val="en-GB"/>
        </w:rPr>
        <w:t>8. </w:t>
      </w:r>
      <w:r w:rsidR="00291D2C">
        <w:rPr>
          <w:lang w:val="en-GB"/>
        </w:rPr>
        <w:t> </w:t>
      </w:r>
      <w:r w:rsidRPr="0097302F">
        <w:rPr>
          <w:lang w:val="en-GB"/>
        </w:rPr>
        <w:t xml:space="preserve">We consider that the interference complained of should be qualified, as argued by the applicants (see paragraph 92), as a deprivation of their possessions, within the meaning of Article 1, first paragraph, second sentence, of Protocol No. 1 (see, for an early qualification in that sense of a law with retrospective effect, </w:t>
      </w:r>
      <w:r w:rsidRPr="0097302F">
        <w:rPr>
          <w:i/>
          <w:lang w:val="en-GB"/>
        </w:rPr>
        <w:t>Pressos Compania Naviera S.A. and Others v. Belgium</w:t>
      </w:r>
      <w:r w:rsidRPr="0097302F">
        <w:rPr>
          <w:lang w:val="en-GB"/>
        </w:rPr>
        <w:t>, 20 November 1995, § 34, Series A no. 332). The fact that the applicants</w:t>
      </w:r>
      <w:r w:rsidR="00864D90">
        <w:rPr>
          <w:lang w:val="en-GB"/>
        </w:rPr>
        <w:t>’</w:t>
      </w:r>
      <w:r w:rsidRPr="0097302F">
        <w:rPr>
          <w:lang w:val="en-GB"/>
        </w:rPr>
        <w:t xml:space="preserve"> claims for reimbursement were related to contributions they had previously made does not, in our opinion,</w:t>
      </w:r>
      <w:r>
        <w:rPr>
          <w:lang w:val="en-GB"/>
        </w:rPr>
        <w:t xml:space="preserve"> mean that greater weight should be attached to the second paragraph of Article 1, at the expense of the second sentence of the first paragraph of Article 1.</w:t>
      </w:r>
    </w:p>
    <w:p w:rsidR="00675AE1" w:rsidRPr="0097302F" w:rsidRDefault="00675AE1" w:rsidP="009B0194">
      <w:pPr>
        <w:pStyle w:val="OpiPara"/>
        <w:rPr>
          <w:lang w:val="en-GB"/>
        </w:rPr>
      </w:pPr>
      <w:r w:rsidRPr="0097302F">
        <w:rPr>
          <w:lang w:val="en-GB"/>
        </w:rPr>
        <w:t>9. </w:t>
      </w:r>
      <w:r w:rsidR="00291D2C">
        <w:rPr>
          <w:lang w:val="en-GB"/>
        </w:rPr>
        <w:t> </w:t>
      </w:r>
      <w:r w:rsidRPr="0097302F">
        <w:rPr>
          <w:lang w:val="en-GB"/>
        </w:rPr>
        <w:t>Accordingly, we consider that the Court should have examined whether the deprivation of the applicants</w:t>
      </w:r>
      <w:r w:rsidR="00864D90">
        <w:rPr>
          <w:lang w:val="en-GB"/>
        </w:rPr>
        <w:t>’</w:t>
      </w:r>
      <w:r w:rsidRPr="0097302F">
        <w:rPr>
          <w:lang w:val="en-GB"/>
        </w:rPr>
        <w:t xml:space="preserve"> possessions was “provided by law”, whether it was “in the public interest”, and whether it struck a fair balance between the demands of the general interest</w:t>
      </w:r>
      <w:r>
        <w:rPr>
          <w:lang w:val="en-GB"/>
        </w:rPr>
        <w:t xml:space="preserve"> (if any)</w:t>
      </w:r>
      <w:r w:rsidRPr="0097302F">
        <w:rPr>
          <w:lang w:val="en-GB"/>
        </w:rPr>
        <w:t xml:space="preserve"> and the requirement of the protection of the applicants</w:t>
      </w:r>
      <w:r w:rsidR="00864D90">
        <w:rPr>
          <w:lang w:val="en-GB"/>
        </w:rPr>
        <w:t>’</w:t>
      </w:r>
      <w:r w:rsidRPr="0097302F">
        <w:rPr>
          <w:lang w:val="en-GB"/>
        </w:rPr>
        <w:t xml:space="preserve"> fundamental rights (see, </w:t>
      </w:r>
      <w:r w:rsidRPr="0097302F">
        <w:rPr>
          <w:i/>
          <w:lang w:val="en-GB"/>
        </w:rPr>
        <w:t>inter alia</w:t>
      </w:r>
      <w:r w:rsidRPr="0097302F">
        <w:rPr>
          <w:lang w:val="en-GB"/>
        </w:rPr>
        <w:t xml:space="preserve">, </w:t>
      </w:r>
      <w:r w:rsidRPr="0097302F">
        <w:rPr>
          <w:i/>
          <w:lang w:val="en-GB"/>
        </w:rPr>
        <w:t>Pressos Compania Naviera S.A.</w:t>
      </w:r>
      <w:r w:rsidRPr="0097302F">
        <w:rPr>
          <w:lang w:val="en-GB"/>
        </w:rPr>
        <w:t>, cited above, § 35).</w:t>
      </w:r>
    </w:p>
    <w:p w:rsidR="00675AE1" w:rsidRPr="0097302F" w:rsidRDefault="00675AE1" w:rsidP="009B0194">
      <w:pPr>
        <w:pStyle w:val="OpiPara"/>
        <w:rPr>
          <w:lang w:val="en-GB"/>
        </w:rPr>
      </w:pPr>
      <w:r w:rsidRPr="0097302F">
        <w:rPr>
          <w:lang w:val="en-GB"/>
        </w:rPr>
        <w:t>10. </w:t>
      </w:r>
      <w:r w:rsidR="00291D2C">
        <w:rPr>
          <w:lang w:val="en-GB"/>
        </w:rPr>
        <w:t> </w:t>
      </w:r>
      <w:r w:rsidRPr="0097302F">
        <w:rPr>
          <w:lang w:val="en-GB"/>
        </w:rPr>
        <w:t xml:space="preserve">When it comes to verifying whether the above-mentioned conditions are met, we find inspiration in the reasoning adopted by the Court in the case of </w:t>
      </w:r>
      <w:r w:rsidRPr="0097302F">
        <w:rPr>
          <w:i/>
          <w:lang w:val="en-GB"/>
        </w:rPr>
        <w:t>Agrati and Others v. Italy (</w:t>
      </w:r>
      <w:r w:rsidRPr="0097302F">
        <w:rPr>
          <w:lang w:val="en-GB"/>
        </w:rPr>
        <w:t>nos. 43549/08, 6107/09 and 5087/09, 7 June 2011). In that case the Court found, as in the present case, that a legislative act which interfered in pending disputes constituted a violation of Article 6 § 1 of the Convention (§§ 58-66). It then went on to analyse the act as an interference with the applicants</w:t>
      </w:r>
      <w:r w:rsidR="00864D90">
        <w:rPr>
          <w:lang w:val="en-GB"/>
        </w:rPr>
        <w:t>’</w:t>
      </w:r>
      <w:r w:rsidRPr="0097302F">
        <w:rPr>
          <w:lang w:val="en-GB"/>
        </w:rPr>
        <w:t xml:space="preserve"> right to the peaceful enjoyment of their possessions, namely as a deprivation of their possessions (§ 75). It found that, while the interference was (obviously) “provided by law” (§ 76), it was doubtful whether the sole financial interest of the State could constitute a “public interest” sufficient to justify a retrospective interference by the legislature (§§ 80-81). Leaving that question open, it considered that the legislative interference had in any event made it decisively impossible for the applicants to have their claims upheld (§ 83), thus obliging them to bear an individual and excessive burden and upsetting the balance between the general interest and the rights of the applicants (§ 84). The Court concluded that Article 1 of Protocol No. 1 had been violated.</w:t>
      </w:r>
    </w:p>
    <w:p w:rsidR="00675AE1" w:rsidRPr="0097302F" w:rsidRDefault="00675AE1" w:rsidP="009B0194">
      <w:pPr>
        <w:pStyle w:val="OpiPara"/>
        <w:rPr>
          <w:lang w:val="en-GB"/>
        </w:rPr>
      </w:pPr>
      <w:r w:rsidRPr="0097302F">
        <w:rPr>
          <w:lang w:val="en-GB"/>
        </w:rPr>
        <w:t>11. </w:t>
      </w:r>
      <w:r w:rsidR="00291D2C">
        <w:rPr>
          <w:lang w:val="en-GB"/>
        </w:rPr>
        <w:t> </w:t>
      </w:r>
      <w:r w:rsidRPr="0097302F">
        <w:rPr>
          <w:lang w:val="en-GB"/>
        </w:rPr>
        <w:t xml:space="preserve">We find no reason to come to a different conclusion in the present case. Once the Court has found that there was no justification for the legislative interference in pending proceedings – in particular in proceedings to which the applicants were parties – because of the absence of “any compelling general interest reasons” (see paragraph 87), it is hard to see how, in the present case, there could be public interest reasons that would justify a </w:t>
      </w:r>
      <w:r w:rsidRPr="0097302F">
        <w:rPr>
          <w:i/>
          <w:lang w:val="en-GB"/>
        </w:rPr>
        <w:t>retrospective</w:t>
      </w:r>
      <w:r w:rsidRPr="0097302F">
        <w:rPr>
          <w:lang w:val="en-GB"/>
        </w:rPr>
        <w:t xml:space="preserve"> interference with the applicants</w:t>
      </w:r>
      <w:r w:rsidR="00864D90">
        <w:rPr>
          <w:lang w:val="en-GB"/>
        </w:rPr>
        <w:t>’</w:t>
      </w:r>
      <w:r w:rsidRPr="0097302F">
        <w:rPr>
          <w:lang w:val="en-GB"/>
        </w:rPr>
        <w:t xml:space="preserve"> right to protection of their possessions. Again, the question whether the legislature could abolish the benefit created by Legislative Decree No. 536/87 with </w:t>
      </w:r>
      <w:r w:rsidRPr="0097302F">
        <w:rPr>
          <w:i/>
          <w:lang w:val="en-GB"/>
        </w:rPr>
        <w:t>prospective</w:t>
      </w:r>
      <w:r w:rsidRPr="0097302F">
        <w:rPr>
          <w:lang w:val="en-GB"/>
        </w:rPr>
        <w:t xml:space="preserve"> effect, would, in our opinion, be a different matter.</w:t>
      </w:r>
    </w:p>
    <w:p w:rsidR="00675AE1" w:rsidRPr="0097302F" w:rsidRDefault="00675AE1" w:rsidP="009B0194">
      <w:pPr>
        <w:pStyle w:val="OpiPara"/>
        <w:rPr>
          <w:lang w:val="en-GB"/>
        </w:rPr>
      </w:pPr>
      <w:r w:rsidRPr="0097302F">
        <w:rPr>
          <w:lang w:val="en-GB"/>
        </w:rPr>
        <w:t>12. </w:t>
      </w:r>
      <w:r w:rsidR="00291D2C">
        <w:rPr>
          <w:lang w:val="en-GB"/>
        </w:rPr>
        <w:t> </w:t>
      </w:r>
      <w:r w:rsidRPr="0097302F">
        <w:rPr>
          <w:lang w:val="en-GB"/>
        </w:rPr>
        <w:t>The majority</w:t>
      </w:r>
      <w:r w:rsidR="00864D90">
        <w:rPr>
          <w:lang w:val="en-GB"/>
        </w:rPr>
        <w:t>’</w:t>
      </w:r>
      <w:r w:rsidRPr="0097302F">
        <w:rPr>
          <w:lang w:val="en-GB"/>
        </w:rPr>
        <w:t xml:space="preserve">s finding that Article 1 of Protocol No. 1 has not been violated </w:t>
      </w:r>
      <w:r>
        <w:rPr>
          <w:lang w:val="en-GB"/>
        </w:rPr>
        <w:t xml:space="preserve">by the application of retrospective “interpretive” legislation </w:t>
      </w:r>
      <w:r w:rsidRPr="0097302F">
        <w:rPr>
          <w:lang w:val="en-GB"/>
        </w:rPr>
        <w:t xml:space="preserve">is unfortunate. We note that according to the applicants “in Italy it [has become] common practice to introduce </w:t>
      </w:r>
      <w:r w:rsidR="00864D90">
        <w:rPr>
          <w:lang w:val="en-GB"/>
        </w:rPr>
        <w:t>‘</w:t>
      </w:r>
      <w:r w:rsidRPr="0097302F">
        <w:rPr>
          <w:lang w:val="en-GB"/>
        </w:rPr>
        <w:t>interpretative</w:t>
      </w:r>
      <w:r w:rsidR="00864D90">
        <w:rPr>
          <w:lang w:val="en-GB"/>
        </w:rPr>
        <w:t>’</w:t>
      </w:r>
      <w:r w:rsidRPr="0097302F">
        <w:rPr>
          <w:lang w:val="en-GB"/>
        </w:rPr>
        <w:t xml:space="preserve"> provisions in matters involving financial interests to secure higher income (or lower expenditure) for the public administration” (see paragraph 63). This statement has not been contradicted by the Government. Having regard to similar cases that the Court has dealt with in the </w:t>
      </w:r>
      <w:r>
        <w:rPr>
          <w:lang w:val="en-GB"/>
        </w:rPr>
        <w:t xml:space="preserve">recent </w:t>
      </w:r>
      <w:r w:rsidRPr="0097302F">
        <w:rPr>
          <w:lang w:val="en-GB"/>
        </w:rPr>
        <w:t>past and to certain cases that are still pending before it, we tend to agree with the applicants that the Italian legislature is regularly tempted to intervene in pending proceedings when it appears that the outcome of such proceedings may have a significant impact on the State</w:t>
      </w:r>
      <w:r w:rsidR="00864D90">
        <w:rPr>
          <w:lang w:val="en-GB"/>
        </w:rPr>
        <w:t>’</w:t>
      </w:r>
      <w:r w:rsidRPr="0097302F">
        <w:rPr>
          <w:lang w:val="en-GB"/>
        </w:rPr>
        <w:t xml:space="preserve">s budget. In the present case, the so-called interpretative act was adopted almost sixteen years after the original act. We find this practice particularly disturbing, and regret that the majority has not condemned it </w:t>
      </w:r>
      <w:r w:rsidRPr="0097302F">
        <w:rPr>
          <w:i/>
          <w:lang w:val="en-GB"/>
        </w:rPr>
        <w:t>inter alia</w:t>
      </w:r>
      <w:r w:rsidRPr="0097302F">
        <w:rPr>
          <w:lang w:val="en-GB"/>
        </w:rPr>
        <w:t xml:space="preserve"> from the perspective of Article 1 of Protocol No. 1.</w:t>
      </w:r>
    </w:p>
    <w:p w:rsidR="00675AE1" w:rsidRPr="0097302F" w:rsidRDefault="00675AE1" w:rsidP="009B0194">
      <w:pPr>
        <w:pStyle w:val="OpiPara"/>
        <w:rPr>
          <w:lang w:val="en-GB"/>
        </w:rPr>
      </w:pPr>
      <w:r w:rsidRPr="0097302F">
        <w:rPr>
          <w:lang w:val="en-GB"/>
        </w:rPr>
        <w:t>13. </w:t>
      </w:r>
      <w:r w:rsidR="00291D2C">
        <w:rPr>
          <w:lang w:val="en-GB"/>
        </w:rPr>
        <w:t> </w:t>
      </w:r>
      <w:r w:rsidRPr="0097302F">
        <w:rPr>
          <w:lang w:val="en-GB"/>
        </w:rPr>
        <w:t>Finally, with respect to the just satisfaction to be awarded to the applicants (Article 41 of the Convention), to our regret we are unable to share the majority</w:t>
      </w:r>
      <w:r w:rsidR="00864D90">
        <w:rPr>
          <w:lang w:val="en-GB"/>
        </w:rPr>
        <w:t>’</w:t>
      </w:r>
      <w:r w:rsidRPr="0097302F">
        <w:rPr>
          <w:lang w:val="en-GB"/>
        </w:rPr>
        <w:t>s view that the applicants suffered only “a loss of real opportunities” (see paragraph 111). The applicants</w:t>
      </w:r>
      <w:r w:rsidR="00864D90">
        <w:rPr>
          <w:lang w:val="en-GB"/>
        </w:rPr>
        <w:t>’</w:t>
      </w:r>
      <w:r w:rsidRPr="0097302F">
        <w:rPr>
          <w:lang w:val="en-GB"/>
        </w:rPr>
        <w:t xml:space="preserve"> claims were upheld at first instance and on appeal. Their claims were based on a legislative provision that left no discretion to the public authorities. The only question was whether the reduction of the contributions to be paid under Legislative Decree No. 536/87 could be combined with the exemptions granted by Law No. 67/88, and, as the Court notes (see paragraph 78), that question had consistently been answered by the Italian courts in a way that was favourable to companies </w:t>
      </w:r>
      <w:r>
        <w:rPr>
          <w:lang w:val="en-GB"/>
        </w:rPr>
        <w:t xml:space="preserve">such as </w:t>
      </w:r>
      <w:r w:rsidRPr="0097302F">
        <w:rPr>
          <w:lang w:val="en-GB"/>
        </w:rPr>
        <w:t>the applicant</w:t>
      </w:r>
      <w:r>
        <w:rPr>
          <w:lang w:val="en-GB"/>
        </w:rPr>
        <w:t xml:space="preserve"> companie</w:t>
      </w:r>
      <w:r w:rsidRPr="0097302F">
        <w:rPr>
          <w:lang w:val="en-GB"/>
        </w:rPr>
        <w:t>s. In these circumstances we agree with the applicants that, had Law No. 326/03 not been enacted, they “[would have had] not only [</w:t>
      </w:r>
      <w:r w:rsidR="00632A2E">
        <w:rPr>
          <w:lang w:val="en-GB"/>
        </w:rPr>
        <w:t>...</w:t>
      </w:r>
      <w:r w:rsidRPr="0097302F">
        <w:rPr>
          <w:lang w:val="en-GB"/>
        </w:rPr>
        <w:t>] a legitimate expectation to obtain their claims, they [would have] been almost certain of it” (</w:t>
      </w:r>
      <w:r>
        <w:rPr>
          <w:lang w:val="en-GB"/>
        </w:rPr>
        <w:t xml:space="preserve">see </w:t>
      </w:r>
      <w:r w:rsidRPr="0097302F">
        <w:rPr>
          <w:lang w:val="en-GB"/>
        </w:rPr>
        <w:t xml:space="preserve">paragraph 91). It was only on account of the enactment of the latter law that the judgments rendered in their favour were quashed by the Court of Cassation and their claims unexpectedly dismissed. We consider that in these circumstances the just satisfaction to be awarded to each applicant company in respect of pecuniary damage should in principle amount to the sum claimed by it from the </w:t>
      </w:r>
      <w:r w:rsidRPr="0097302F">
        <w:rPr>
          <w:i/>
          <w:lang w:val="en-GB"/>
        </w:rPr>
        <w:t>Istituto Nazionale della Previdenza Sociale</w:t>
      </w:r>
      <w:r w:rsidRPr="0097302F">
        <w:rPr>
          <w:lang w:val="en-GB"/>
        </w:rPr>
        <w:t xml:space="preserve"> (INPS) (see paragraph 109) and awarded in full by the court of appeal (respectively EUR 89,729 for Azienda Agricola Silverfunghi, EUR 213,776 for Scarpellini, EUR 108,770 for S.A.P. Pietrafitta, and EUR 84,375 for Floricultura Zanchi Di Zanchi Fratelli). However, where applicable</w:t>
      </w:r>
      <w:r w:rsidRPr="0097302F" w:rsidDel="00B941B4">
        <w:rPr>
          <w:lang w:val="en-GB"/>
        </w:rPr>
        <w:t xml:space="preserve"> </w:t>
      </w:r>
      <w:r w:rsidRPr="0097302F">
        <w:rPr>
          <w:lang w:val="en-GB"/>
        </w:rPr>
        <w:t xml:space="preserve">the sum received by the applicant company from the INPS by execution of the </w:t>
      </w:r>
      <w:r w:rsidR="00291D2C">
        <w:rPr>
          <w:lang w:val="en-GB"/>
        </w:rPr>
        <w:t>first</w:t>
      </w:r>
      <w:r w:rsidR="00291D2C">
        <w:rPr>
          <w:lang w:val="en-GB"/>
        </w:rPr>
        <w:noBreakHyphen/>
      </w:r>
      <w:r w:rsidRPr="0097302F">
        <w:rPr>
          <w:lang w:val="en-GB"/>
        </w:rPr>
        <w:t>instance judgment and not yet returned by that applicant company following the Court of Cassation</w:t>
      </w:r>
      <w:r w:rsidR="00864D90">
        <w:rPr>
          <w:lang w:val="en-GB"/>
        </w:rPr>
        <w:t>’</w:t>
      </w:r>
      <w:r w:rsidRPr="0097302F">
        <w:rPr>
          <w:lang w:val="en-GB"/>
        </w:rPr>
        <w:t>s judgment should be deducted from this amount. Finally, to the amount thus calculated should be added the statutory interest applicable under domestic law.</w:t>
      </w:r>
    </w:p>
    <w:p w:rsidR="009B0194" w:rsidRPr="00632A2E" w:rsidRDefault="00675AE1" w:rsidP="00291D2C">
      <w:pPr>
        <w:pStyle w:val="OpiPara"/>
        <w:rPr>
          <w:lang w:val="en-GB"/>
        </w:rPr>
      </w:pPr>
      <w:r w:rsidRPr="0097302F">
        <w:rPr>
          <w:lang w:val="en-GB"/>
        </w:rPr>
        <w:t>14. </w:t>
      </w:r>
      <w:r w:rsidR="00291D2C">
        <w:rPr>
          <w:lang w:val="en-GB"/>
        </w:rPr>
        <w:t> </w:t>
      </w:r>
      <w:r w:rsidRPr="0097302F">
        <w:rPr>
          <w:lang w:val="en-GB"/>
        </w:rPr>
        <w:t>There is some inconsistency in the Court</w:t>
      </w:r>
      <w:r w:rsidR="00864D90">
        <w:rPr>
          <w:lang w:val="en-GB"/>
        </w:rPr>
        <w:t>’</w:t>
      </w:r>
      <w:r w:rsidRPr="0097302F">
        <w:rPr>
          <w:lang w:val="en-GB"/>
        </w:rPr>
        <w:t>s case-law about how the operative points relating to the just satisfaction should be understood. This uncertainty has resulted in us voting in different ways, which basically reflect two competing patterns of voting in this Court on just compensation (Article 41 of the Convention): Paul Lemmens voted in favour of point 4 and against point 5 (because the sums indicated in point 4 are seen as due to be paid to the applicants in any event, irrespective of the fact that they are insufficient), while Egidijus Kūris voted against both points 4 and 5 (because the sums indicated in point 4 are insufficient). In substance, however, we are in full agreement, as we would both award the applicant</w:t>
      </w:r>
      <w:r>
        <w:rPr>
          <w:lang w:val="en-GB"/>
        </w:rPr>
        <w:t xml:space="preserve"> companie</w:t>
      </w:r>
      <w:r w:rsidRPr="0097302F">
        <w:rPr>
          <w:lang w:val="en-GB"/>
        </w:rPr>
        <w:t>s more than the majority has decided to award.</w:t>
      </w:r>
    </w:p>
    <w:sectPr w:rsidR="009B0194" w:rsidRPr="00632A2E" w:rsidSect="00855D64">
      <w:headerReference w:type="default" r:id="rId15"/>
      <w:pgSz w:w="11906" w:h="16838" w:code="9"/>
      <w:pgMar w:top="2274" w:right="2274" w:bottom="2274" w:left="2274" w:header="1701"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58D" w:rsidRDefault="00F2358D">
      <w:r>
        <w:separator/>
      </w:r>
    </w:p>
  </w:endnote>
  <w:endnote w:type="continuationSeparator" w:id="0">
    <w:p w:rsidR="00F2358D" w:rsidRDefault="00F23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58D" w:rsidRPr="00150BFA" w:rsidRDefault="00F2358D" w:rsidP="00A45406">
    <w:pPr>
      <w:jc w:val="center"/>
    </w:pPr>
    <w:r>
      <w:rPr>
        <w:noProof/>
        <w:lang w:eastAsia="ja-JP"/>
      </w:rPr>
      <w:drawing>
        <wp:inline distT="0" distB="0" distL="0" distR="0" wp14:anchorId="31D275F3" wp14:editId="7203AE30">
          <wp:extent cx="771525" cy="619125"/>
          <wp:effectExtent l="0" t="0" r="9525" b="9525"/>
          <wp:docPr id="31" name="Picture 31"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F2358D" w:rsidRDefault="00F235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58D" w:rsidRDefault="00F2358D">
      <w:r>
        <w:separator/>
      </w:r>
    </w:p>
  </w:footnote>
  <w:footnote w:type="continuationSeparator" w:id="0">
    <w:p w:rsidR="00F2358D" w:rsidRDefault="00F2358D">
      <w:r>
        <w:continuationSeparator/>
      </w:r>
    </w:p>
  </w:footnote>
  <w:footnote w:id="1">
    <w:p w:rsidR="00F2358D" w:rsidRDefault="00F2358D">
      <w:pPr>
        <w:pStyle w:val="FootnoteText"/>
      </w:pPr>
      <w:r>
        <w:rPr>
          <w:rStyle w:val="FootnoteReference"/>
        </w:rPr>
        <w:footnoteRef/>
      </w:r>
      <w:r>
        <w:t xml:space="preserve"> Which stated that “the percentage of contributions [had] to be calculated without taking the concession into account” (“</w:t>
      </w:r>
      <w:r w:rsidRPr="00552DC9">
        <w:rPr>
          <w:i/>
        </w:rPr>
        <w:t xml:space="preserve">la </w:t>
      </w:r>
      <w:proofErr w:type="spellStart"/>
      <w:r w:rsidRPr="00552DC9">
        <w:rPr>
          <w:i/>
        </w:rPr>
        <w:t>percentuale</w:t>
      </w:r>
      <w:proofErr w:type="spellEnd"/>
      <w:r w:rsidRPr="00552DC9">
        <w:rPr>
          <w:i/>
        </w:rPr>
        <w:t xml:space="preserve"> </w:t>
      </w:r>
      <w:proofErr w:type="spellStart"/>
      <w:r w:rsidRPr="00552DC9">
        <w:rPr>
          <w:i/>
        </w:rPr>
        <w:t>dei</w:t>
      </w:r>
      <w:proofErr w:type="spellEnd"/>
      <w:r w:rsidRPr="00552DC9">
        <w:rPr>
          <w:i/>
        </w:rPr>
        <w:t xml:space="preserve"> </w:t>
      </w:r>
      <w:proofErr w:type="spellStart"/>
      <w:r>
        <w:rPr>
          <w:i/>
        </w:rPr>
        <w:t>contributi</w:t>
      </w:r>
      <w:proofErr w:type="spellEnd"/>
      <w:r w:rsidRPr="00552DC9">
        <w:rPr>
          <w:i/>
        </w:rPr>
        <w:t xml:space="preserve"> </w:t>
      </w:r>
      <w:proofErr w:type="spellStart"/>
      <w:r>
        <w:rPr>
          <w:i/>
        </w:rPr>
        <w:t>dovuti</w:t>
      </w:r>
      <w:proofErr w:type="spellEnd"/>
      <w:r w:rsidRPr="00552DC9">
        <w:rPr>
          <w:i/>
        </w:rPr>
        <w:t xml:space="preserve"> </w:t>
      </w:r>
      <w:proofErr w:type="spellStart"/>
      <w:r w:rsidRPr="00552DC9">
        <w:rPr>
          <w:i/>
        </w:rPr>
        <w:t>va</w:t>
      </w:r>
      <w:proofErr w:type="spellEnd"/>
      <w:r w:rsidRPr="00552DC9">
        <w:rPr>
          <w:i/>
        </w:rPr>
        <w:t xml:space="preserve"> </w:t>
      </w:r>
      <w:proofErr w:type="spellStart"/>
      <w:r w:rsidRPr="00552DC9">
        <w:rPr>
          <w:i/>
        </w:rPr>
        <w:t>calcolata</w:t>
      </w:r>
      <w:proofErr w:type="spellEnd"/>
      <w:r w:rsidRPr="00552DC9">
        <w:rPr>
          <w:i/>
        </w:rPr>
        <w:t xml:space="preserve"> </w:t>
      </w:r>
      <w:proofErr w:type="spellStart"/>
      <w:r w:rsidRPr="00552DC9">
        <w:rPr>
          <w:i/>
        </w:rPr>
        <w:t>senza</w:t>
      </w:r>
      <w:proofErr w:type="spellEnd"/>
      <w:r w:rsidRPr="00552DC9">
        <w:rPr>
          <w:i/>
        </w:rPr>
        <w:t xml:space="preserve"> </w:t>
      </w:r>
      <w:proofErr w:type="spellStart"/>
      <w:r w:rsidRPr="00552DC9">
        <w:rPr>
          <w:i/>
        </w:rPr>
        <w:t>ritenere</w:t>
      </w:r>
      <w:proofErr w:type="spellEnd"/>
      <w:r w:rsidRPr="00552DC9">
        <w:rPr>
          <w:i/>
        </w:rPr>
        <w:t xml:space="preserve"> </w:t>
      </w:r>
      <w:proofErr w:type="spellStart"/>
      <w:r w:rsidRPr="00552DC9">
        <w:rPr>
          <w:i/>
        </w:rPr>
        <w:t>conto</w:t>
      </w:r>
      <w:proofErr w:type="spellEnd"/>
      <w:r w:rsidRPr="00552DC9">
        <w:rPr>
          <w:i/>
        </w:rPr>
        <w:t xml:space="preserve"> </w:t>
      </w:r>
      <w:proofErr w:type="spellStart"/>
      <w:r w:rsidRPr="00552DC9">
        <w:rPr>
          <w:i/>
        </w:rPr>
        <w:t>delle</w:t>
      </w:r>
      <w:proofErr w:type="spellEnd"/>
      <w:r w:rsidRPr="00552DC9">
        <w:rPr>
          <w:i/>
        </w:rPr>
        <w:t xml:space="preserve"> quote </w:t>
      </w:r>
      <w:proofErr w:type="spellStart"/>
      <w:r w:rsidRPr="00552DC9">
        <w:rPr>
          <w:i/>
        </w:rPr>
        <w:t>fiscalizzate</w:t>
      </w:r>
      <w:proofErr w:type="spellEnd"/>
      <w:r>
        <w:t>”</w:t>
      </w:r>
      <w:r>
        <w:rPr>
          <w:i/>
        </w:rPr>
        <w:t>)</w:t>
      </w:r>
      <w:r>
        <w:t>.</w:t>
      </w:r>
    </w:p>
  </w:footnote>
  <w:footnote w:id="2">
    <w:p w:rsidR="00F2358D" w:rsidRPr="00691042" w:rsidRDefault="00F2358D">
      <w:pPr>
        <w:pStyle w:val="FootnoteText"/>
        <w:rPr>
          <w:lang w:val="it-IT"/>
        </w:rPr>
      </w:pPr>
      <w:r>
        <w:rPr>
          <w:rStyle w:val="FootnoteReference"/>
        </w:rPr>
        <w:footnoteRef/>
      </w:r>
      <w:r w:rsidRPr="00691042">
        <w:rPr>
          <w:lang w:val="it-IT"/>
        </w:rPr>
        <w:t xml:space="preserve"> </w:t>
      </w:r>
      <w:proofErr w:type="spellStart"/>
      <w:r w:rsidRPr="00691042">
        <w:rPr>
          <w:lang w:val="it-IT"/>
        </w:rPr>
        <w:t>Where</w:t>
      </w:r>
      <w:proofErr w:type="spellEnd"/>
      <w:r w:rsidRPr="00691042">
        <w:rPr>
          <w:lang w:val="it-IT"/>
        </w:rPr>
        <w:t xml:space="preserve"> </w:t>
      </w:r>
      <w:proofErr w:type="spellStart"/>
      <w:r w:rsidRPr="00691042">
        <w:rPr>
          <w:lang w:val="it-IT"/>
        </w:rPr>
        <w:t>it</w:t>
      </w:r>
      <w:proofErr w:type="spellEnd"/>
      <w:r w:rsidRPr="00691042">
        <w:rPr>
          <w:lang w:val="it-IT"/>
        </w:rPr>
        <w:t xml:space="preserve"> </w:t>
      </w:r>
      <w:proofErr w:type="spellStart"/>
      <w:r w:rsidRPr="00691042">
        <w:rPr>
          <w:lang w:val="it-IT"/>
        </w:rPr>
        <w:t>was</w:t>
      </w:r>
      <w:proofErr w:type="spellEnd"/>
      <w:r w:rsidRPr="00691042">
        <w:rPr>
          <w:lang w:val="it-IT"/>
        </w:rPr>
        <w:t xml:space="preserve"> </w:t>
      </w:r>
      <w:proofErr w:type="spellStart"/>
      <w:r w:rsidRPr="00691042">
        <w:rPr>
          <w:lang w:val="it-IT"/>
        </w:rPr>
        <w:t>stated</w:t>
      </w:r>
      <w:proofErr w:type="spellEnd"/>
      <w:r w:rsidRPr="00691042">
        <w:rPr>
          <w:lang w:val="it-IT"/>
        </w:rPr>
        <w:t xml:space="preserve"> </w:t>
      </w:r>
      <w:proofErr w:type="spellStart"/>
      <w:r w:rsidRPr="00691042">
        <w:rPr>
          <w:lang w:val="it-IT"/>
        </w:rPr>
        <w:t>that</w:t>
      </w:r>
      <w:proofErr w:type="spellEnd"/>
      <w:r w:rsidRPr="00691042">
        <w:rPr>
          <w:lang w:val="it-IT"/>
        </w:rPr>
        <w:t xml:space="preserve"> “the </w:t>
      </w:r>
      <w:proofErr w:type="spellStart"/>
      <w:r w:rsidRPr="00691042">
        <w:rPr>
          <w:lang w:val="it-IT"/>
        </w:rPr>
        <w:t>norm</w:t>
      </w:r>
      <w:proofErr w:type="spellEnd"/>
      <w:r w:rsidRPr="00691042">
        <w:rPr>
          <w:lang w:val="it-IT"/>
        </w:rPr>
        <w:t xml:space="preserve"> [</w:t>
      </w:r>
      <w:proofErr w:type="spellStart"/>
      <w:r w:rsidRPr="00691042">
        <w:rPr>
          <w:lang w:val="it-IT"/>
        </w:rPr>
        <w:t>was</w:t>
      </w:r>
      <w:proofErr w:type="spellEnd"/>
      <w:r w:rsidRPr="00691042">
        <w:rPr>
          <w:lang w:val="it-IT"/>
        </w:rPr>
        <w:t xml:space="preserve">] </w:t>
      </w:r>
      <w:proofErr w:type="spellStart"/>
      <w:r w:rsidRPr="00691042">
        <w:rPr>
          <w:lang w:val="it-IT"/>
        </w:rPr>
        <w:t>intended</w:t>
      </w:r>
      <w:proofErr w:type="spellEnd"/>
      <w:r w:rsidRPr="00691042">
        <w:rPr>
          <w:lang w:val="it-IT"/>
        </w:rPr>
        <w:t xml:space="preserve"> to </w:t>
      </w:r>
      <w:proofErr w:type="spellStart"/>
      <w:r w:rsidRPr="00691042">
        <w:rPr>
          <w:lang w:val="it-IT"/>
        </w:rPr>
        <w:t>avoid</w:t>
      </w:r>
      <w:proofErr w:type="spellEnd"/>
      <w:r w:rsidRPr="00691042">
        <w:rPr>
          <w:lang w:val="it-IT"/>
        </w:rPr>
        <w:t xml:space="preserve"> </w:t>
      </w:r>
      <w:proofErr w:type="spellStart"/>
      <w:r w:rsidRPr="00691042">
        <w:rPr>
          <w:lang w:val="it-IT"/>
        </w:rPr>
        <w:t>greater</w:t>
      </w:r>
      <w:proofErr w:type="spellEnd"/>
      <w:r w:rsidRPr="00691042">
        <w:rPr>
          <w:lang w:val="it-IT"/>
        </w:rPr>
        <w:t xml:space="preserve"> </w:t>
      </w:r>
      <w:proofErr w:type="spellStart"/>
      <w:r w:rsidRPr="00691042">
        <w:rPr>
          <w:lang w:val="it-IT"/>
        </w:rPr>
        <w:t>burdens</w:t>
      </w:r>
      <w:proofErr w:type="spellEnd"/>
      <w:r w:rsidRPr="00691042">
        <w:rPr>
          <w:lang w:val="it-IT"/>
        </w:rPr>
        <w:t xml:space="preserve"> </w:t>
      </w:r>
      <w:proofErr w:type="spellStart"/>
      <w:r w:rsidRPr="00691042">
        <w:rPr>
          <w:lang w:val="it-IT"/>
        </w:rPr>
        <w:t>than</w:t>
      </w:r>
      <w:proofErr w:type="spellEnd"/>
      <w:r w:rsidRPr="00691042">
        <w:rPr>
          <w:lang w:val="it-IT"/>
        </w:rPr>
        <w:t xml:space="preserve"> </w:t>
      </w:r>
      <w:proofErr w:type="spellStart"/>
      <w:r w:rsidRPr="00691042">
        <w:rPr>
          <w:lang w:val="it-IT"/>
        </w:rPr>
        <w:t>those</w:t>
      </w:r>
      <w:proofErr w:type="spellEnd"/>
      <w:r w:rsidRPr="00691042">
        <w:rPr>
          <w:lang w:val="it-IT"/>
        </w:rPr>
        <w:t xml:space="preserve"> </w:t>
      </w:r>
      <w:proofErr w:type="spellStart"/>
      <w:r w:rsidRPr="00691042">
        <w:rPr>
          <w:lang w:val="it-IT"/>
        </w:rPr>
        <w:t>borne</w:t>
      </w:r>
      <w:proofErr w:type="spellEnd"/>
      <w:r w:rsidRPr="00691042">
        <w:rPr>
          <w:lang w:val="it-IT"/>
        </w:rPr>
        <w:t xml:space="preserve"> in </w:t>
      </w:r>
      <w:proofErr w:type="spellStart"/>
      <w:r w:rsidRPr="00691042">
        <w:rPr>
          <w:lang w:val="it-IT"/>
        </w:rPr>
        <w:t>previous</w:t>
      </w:r>
      <w:proofErr w:type="spellEnd"/>
      <w:r w:rsidRPr="00691042">
        <w:rPr>
          <w:lang w:val="it-IT"/>
        </w:rPr>
        <w:t xml:space="preserve"> </w:t>
      </w:r>
      <w:proofErr w:type="spellStart"/>
      <w:r w:rsidRPr="00691042">
        <w:rPr>
          <w:lang w:val="it-IT"/>
        </w:rPr>
        <w:t>years</w:t>
      </w:r>
      <w:proofErr w:type="spellEnd"/>
      <w:r w:rsidRPr="00691042">
        <w:rPr>
          <w:lang w:val="it-IT"/>
        </w:rPr>
        <w:t xml:space="preserve">” </w:t>
      </w:r>
      <w:r w:rsidRPr="00D654DA">
        <w:rPr>
          <w:lang w:val="it-IT"/>
        </w:rPr>
        <w:t>(</w:t>
      </w:r>
      <w:r w:rsidRPr="00691042">
        <w:rPr>
          <w:lang w:val="it-IT"/>
        </w:rPr>
        <w:t>“</w:t>
      </w:r>
      <w:r w:rsidRPr="00691042">
        <w:rPr>
          <w:i/>
          <w:lang w:val="it-IT"/>
        </w:rPr>
        <w:t xml:space="preserve">La norma </w:t>
      </w:r>
      <w:r w:rsidRPr="00691042">
        <w:rPr>
          <w:rFonts w:cstheme="minorHAnsi"/>
          <w:i/>
          <w:lang w:val="it-IT"/>
        </w:rPr>
        <w:t>è</w:t>
      </w:r>
      <w:r w:rsidRPr="00691042">
        <w:rPr>
          <w:i/>
          <w:lang w:val="it-IT"/>
        </w:rPr>
        <w:t xml:space="preserve"> pertanto funzionale ad evitare maggiori oneri rispetto agli andamenti tendenziali con riferimento ai periodi pregressi</w:t>
      </w:r>
      <w:r w:rsidRPr="00691042">
        <w:rPr>
          <w:lang w:val="it-IT"/>
        </w:rPr>
        <w:t>”</w:t>
      </w:r>
      <w:r w:rsidRPr="00D654DA">
        <w:rPr>
          <w:lang w:val="it-IT"/>
        </w:rPr>
        <w:t>)</w:t>
      </w:r>
      <w:r w:rsidRPr="00691042">
        <w:rPr>
          <w:lang w:val="it-IT"/>
        </w:rPr>
        <w:t xml:space="preserve">. </w:t>
      </w:r>
    </w:p>
  </w:footnote>
  <w:footnote w:id="3">
    <w:p w:rsidR="00F2358D" w:rsidRPr="0055733C" w:rsidRDefault="00F2358D">
      <w:pPr>
        <w:pStyle w:val="FootnoteText"/>
        <w:rPr>
          <w:lang w:val="it-IT"/>
        </w:rPr>
      </w:pPr>
      <w:r>
        <w:rPr>
          <w:rStyle w:val="FootnoteReference"/>
        </w:rPr>
        <w:footnoteRef/>
      </w:r>
      <w:r w:rsidRPr="0055733C">
        <w:rPr>
          <w:lang w:val="it-IT"/>
        </w:rPr>
        <w:t xml:space="preserve"> </w:t>
      </w:r>
      <w:r w:rsidRPr="0086472D">
        <w:rPr>
          <w:lang w:val="it-IT"/>
        </w:rPr>
        <w:t xml:space="preserve">“Diritto e processo del lavoro e della previdenza sociale” G. </w:t>
      </w:r>
      <w:r>
        <w:rPr>
          <w:lang w:val="it-IT"/>
        </w:rPr>
        <w:t>Santoro Passarelli p.1174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58D" w:rsidRPr="00591B3F" w:rsidRDefault="00F2358D" w:rsidP="00591B3F">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58D" w:rsidRPr="00A45145" w:rsidRDefault="00F2358D" w:rsidP="00A45406">
    <w:pPr>
      <w:jc w:val="center"/>
    </w:pPr>
    <w:r>
      <w:rPr>
        <w:noProof/>
        <w:lang w:eastAsia="ja-JP"/>
      </w:rPr>
      <w:drawing>
        <wp:inline distT="0" distB="0" distL="0" distR="0" wp14:anchorId="55EEC546" wp14:editId="4412F8E7">
          <wp:extent cx="2962275" cy="1219200"/>
          <wp:effectExtent l="0" t="0" r="9525" b="0"/>
          <wp:docPr id="16" name="Picture 16"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F2358D" w:rsidRDefault="00F2358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58D" w:rsidRPr="00634F53" w:rsidRDefault="00F2358D" w:rsidP="00044ABA">
    <w:pPr>
      <w:pStyle w:val="ECHRHeader"/>
      <w:rPr>
        <w:lang w:val="it-IT"/>
      </w:rPr>
    </w:pPr>
    <w:r>
      <w:rPr>
        <w:rStyle w:val="PageNumber"/>
        <w:szCs w:val="18"/>
      </w:rPr>
      <w:fldChar w:fldCharType="begin"/>
    </w:r>
    <w:r w:rsidRPr="00634F53">
      <w:rPr>
        <w:rStyle w:val="PageNumber"/>
        <w:szCs w:val="18"/>
        <w:lang w:val="it-IT"/>
      </w:rPr>
      <w:instrText xml:space="preserve"> PAGE </w:instrText>
    </w:r>
    <w:r>
      <w:rPr>
        <w:rStyle w:val="PageNumber"/>
        <w:szCs w:val="18"/>
      </w:rPr>
      <w:fldChar w:fldCharType="separate"/>
    </w:r>
    <w:r w:rsidR="00D471CA">
      <w:rPr>
        <w:rStyle w:val="PageNumber"/>
        <w:noProof/>
        <w:szCs w:val="18"/>
        <w:lang w:val="it-IT"/>
      </w:rPr>
      <w:t>20</w:t>
    </w:r>
    <w:r>
      <w:rPr>
        <w:rStyle w:val="PageNumber"/>
        <w:szCs w:val="18"/>
      </w:rPr>
      <w:fldChar w:fldCharType="end"/>
    </w:r>
    <w:r w:rsidRPr="00634F53">
      <w:rPr>
        <w:lang w:val="it-IT"/>
      </w:rPr>
      <w:tab/>
      <w:t>AZIENDA AGRICOLA SILVERFUNGHI S.A.S</w:t>
    </w:r>
    <w:r>
      <w:rPr>
        <w:lang w:val="it-IT"/>
      </w:rPr>
      <w:t xml:space="preserve"> AND OTHERS</w:t>
    </w:r>
    <w:r w:rsidRPr="00634F53">
      <w:rPr>
        <w:lang w:val="it-IT"/>
      </w:rPr>
      <w:t xml:space="preserve">. v. ITALY </w:t>
    </w:r>
    <w:r>
      <w:rPr>
        <w:lang w:val="it-IT"/>
      </w:rPr>
      <w:t>JUDGMENT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58D" w:rsidRPr="00634F53" w:rsidRDefault="00F2358D" w:rsidP="00044ABA">
    <w:pPr>
      <w:pStyle w:val="ECHRHeader"/>
      <w:rPr>
        <w:lang w:val="it-IT"/>
      </w:rPr>
    </w:pPr>
    <w:r w:rsidRPr="0001136E">
      <w:tab/>
    </w:r>
    <w:r w:rsidRPr="00634F53">
      <w:rPr>
        <w:lang w:val="it-IT"/>
      </w:rPr>
      <w:t>AZIENDA AGRICOLA SILVERFUNGHI S.A.S.</w:t>
    </w:r>
    <w:r>
      <w:rPr>
        <w:lang w:val="it-IT"/>
      </w:rPr>
      <w:t xml:space="preserve"> AND OTHERS</w:t>
    </w:r>
    <w:r w:rsidRPr="00634F53">
      <w:rPr>
        <w:lang w:val="it-IT"/>
      </w:rPr>
      <w:t xml:space="preserve"> v. ITALY</w:t>
    </w:r>
    <w:r>
      <w:rPr>
        <w:lang w:val="it-IT"/>
      </w:rPr>
      <w:t xml:space="preserve"> JUDGMENT</w:t>
    </w:r>
    <w:r w:rsidRPr="00634F53">
      <w:rPr>
        <w:lang w:val="it-IT"/>
      </w:rPr>
      <w:t xml:space="preserve"> </w:t>
    </w:r>
    <w:r w:rsidRPr="00634F53">
      <w:rPr>
        <w:lang w:val="it-IT"/>
      </w:rPr>
      <w:tab/>
    </w:r>
    <w:r>
      <w:rPr>
        <w:rStyle w:val="PageNumber"/>
        <w:szCs w:val="18"/>
      </w:rPr>
      <w:fldChar w:fldCharType="begin"/>
    </w:r>
    <w:r w:rsidRPr="00634F53">
      <w:rPr>
        <w:rStyle w:val="PageNumber"/>
        <w:szCs w:val="18"/>
        <w:lang w:val="it-IT"/>
      </w:rPr>
      <w:instrText xml:space="preserve"> PAGE </w:instrText>
    </w:r>
    <w:r>
      <w:rPr>
        <w:rStyle w:val="PageNumber"/>
        <w:szCs w:val="18"/>
      </w:rPr>
      <w:fldChar w:fldCharType="separate"/>
    </w:r>
    <w:r w:rsidR="00D471CA">
      <w:rPr>
        <w:rStyle w:val="PageNumber"/>
        <w:noProof/>
        <w:szCs w:val="18"/>
        <w:lang w:val="it-IT"/>
      </w:rPr>
      <w:t>20</w:t>
    </w:r>
    <w:r>
      <w:rPr>
        <w:rStyle w:val="PageNumber"/>
        <w:szCs w:val="18"/>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58D" w:rsidRDefault="00F2358D" w:rsidP="001C1722">
    <w:pPr>
      <w:pStyle w:val="ECHRHeader"/>
      <w:rPr>
        <w:lang w:val="it-IT"/>
      </w:rPr>
    </w:pPr>
    <w:r>
      <w:rPr>
        <w:rStyle w:val="PageNumber"/>
        <w:szCs w:val="18"/>
      </w:rPr>
      <w:fldChar w:fldCharType="begin"/>
    </w:r>
    <w:r w:rsidRPr="00634F53">
      <w:rPr>
        <w:rStyle w:val="PageNumber"/>
        <w:szCs w:val="18"/>
        <w:lang w:val="it-IT"/>
      </w:rPr>
      <w:instrText xml:space="preserve"> PAGE </w:instrText>
    </w:r>
    <w:r>
      <w:rPr>
        <w:rStyle w:val="PageNumber"/>
        <w:szCs w:val="18"/>
      </w:rPr>
      <w:fldChar w:fldCharType="separate"/>
    </w:r>
    <w:r w:rsidR="00D471CA">
      <w:rPr>
        <w:rStyle w:val="PageNumber"/>
        <w:noProof/>
        <w:szCs w:val="18"/>
        <w:lang w:val="it-IT"/>
      </w:rPr>
      <w:t>20</w:t>
    </w:r>
    <w:r>
      <w:rPr>
        <w:rStyle w:val="PageNumber"/>
        <w:szCs w:val="18"/>
      </w:rPr>
      <w:fldChar w:fldCharType="end"/>
    </w:r>
    <w:r w:rsidRPr="00634F53">
      <w:rPr>
        <w:lang w:val="it-IT"/>
      </w:rPr>
      <w:tab/>
      <w:t>AZIENDA AGRICOLA SILVERFUNGHI S.A.S</w:t>
    </w:r>
    <w:r>
      <w:rPr>
        <w:lang w:val="it-IT"/>
      </w:rPr>
      <w:t xml:space="preserve"> AND OTHERS </w:t>
    </w:r>
    <w:r w:rsidRPr="00634F53">
      <w:rPr>
        <w:lang w:val="it-IT"/>
      </w:rPr>
      <w:t>v. ITALY</w:t>
    </w:r>
    <w:r w:rsidR="009B0194">
      <w:rPr>
        <w:lang w:val="it-IT"/>
      </w:rPr>
      <w:t xml:space="preserve"> </w:t>
    </w:r>
    <w:r w:rsidRPr="00634F53">
      <w:rPr>
        <w:lang w:val="it-IT"/>
      </w:rPr>
      <w:t xml:space="preserve"> </w:t>
    </w:r>
    <w:r w:rsidR="009B0194">
      <w:rPr>
        <w:lang w:val="it-IT"/>
      </w:rPr>
      <w:t>JUDGMENT</w:t>
    </w:r>
  </w:p>
  <w:p w:rsidR="00F2358D" w:rsidRPr="00634F53" w:rsidRDefault="00F2358D" w:rsidP="001C1722">
    <w:pPr>
      <w:pStyle w:val="ECHRHeader"/>
      <w:jc w:val="center"/>
      <w:rPr>
        <w:lang w:val="it-IT"/>
      </w:rPr>
    </w:pPr>
    <w:r>
      <w:rPr>
        <w:lang w:val="it-IT"/>
      </w:rPr>
      <w:t>SEPARATE OPINION</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58D" w:rsidRPr="000B55DE" w:rsidRDefault="00F2358D" w:rsidP="00044ABA">
    <w:pPr>
      <w:pStyle w:val="ECHRHeader"/>
      <w:rPr>
        <w:rStyle w:val="PageNumber"/>
        <w:szCs w:val="18"/>
        <w:lang w:val="en-US"/>
      </w:rPr>
    </w:pPr>
    <w:r>
      <w:rPr>
        <w:rStyle w:val="PageNumber"/>
        <w:szCs w:val="18"/>
      </w:rPr>
      <w:tab/>
    </w:r>
    <w:r w:rsidRPr="00634F53">
      <w:rPr>
        <w:lang w:val="it-IT"/>
      </w:rPr>
      <w:t>AZIENDA AGRICOLA SILVERFUNGHI S.A.S.</w:t>
    </w:r>
    <w:r>
      <w:rPr>
        <w:lang w:val="it-IT"/>
      </w:rPr>
      <w:t xml:space="preserve"> AND OTHERS</w:t>
    </w:r>
    <w:r w:rsidRPr="00634F53">
      <w:rPr>
        <w:lang w:val="it-IT"/>
      </w:rPr>
      <w:t xml:space="preserve"> v. ITALY</w:t>
    </w:r>
    <w:r>
      <w:rPr>
        <w:lang w:val="it-IT"/>
      </w:rPr>
      <w:t xml:space="preserve"> </w:t>
    </w:r>
    <w:r w:rsidR="009B0194">
      <w:rPr>
        <w:lang w:val="it-IT"/>
      </w:rPr>
      <w:t>JUDGMENT</w:t>
    </w:r>
    <w:r>
      <w:rPr>
        <w:lang w:val="it-IT"/>
      </w:rPr>
      <w:t xml:space="preserve"> </w:t>
    </w:r>
    <w:r>
      <w:rPr>
        <w:lang w:val="it-IT"/>
      </w:rPr>
      <w:tab/>
    </w:r>
    <w:r>
      <w:rPr>
        <w:rStyle w:val="PageNumber"/>
        <w:szCs w:val="18"/>
      </w:rPr>
      <w:fldChar w:fldCharType="begin"/>
    </w:r>
    <w:r w:rsidRPr="00634F53">
      <w:rPr>
        <w:rStyle w:val="PageNumber"/>
        <w:szCs w:val="18"/>
        <w:lang w:val="it-IT"/>
      </w:rPr>
      <w:instrText xml:space="preserve"> PAGE </w:instrText>
    </w:r>
    <w:r>
      <w:rPr>
        <w:rStyle w:val="PageNumber"/>
        <w:szCs w:val="18"/>
      </w:rPr>
      <w:fldChar w:fldCharType="separate"/>
    </w:r>
    <w:r w:rsidR="00D471CA">
      <w:rPr>
        <w:rStyle w:val="PageNumber"/>
        <w:noProof/>
        <w:szCs w:val="18"/>
        <w:lang w:val="it-IT"/>
      </w:rPr>
      <w:t>20</w:t>
    </w:r>
    <w:r>
      <w:rPr>
        <w:rStyle w:val="PageNumber"/>
        <w:szCs w:val="18"/>
      </w:rPr>
      <w:fldChar w:fldCharType="end"/>
    </w:r>
  </w:p>
  <w:p w:rsidR="00F2358D" w:rsidRPr="00634F53" w:rsidRDefault="00F2358D" w:rsidP="001C1722">
    <w:pPr>
      <w:pStyle w:val="ECHRHeader"/>
      <w:jc w:val="center"/>
      <w:rPr>
        <w:lang w:val="it-IT"/>
      </w:rPr>
    </w:pPr>
    <w:r>
      <w:rPr>
        <w:lang w:val="it-IT"/>
      </w:rPr>
      <w:t>SEPARATE OPINION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180FE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90ECFB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5B8BEFC"/>
    <w:lvl w:ilvl="0">
      <w:start w:val="1"/>
      <w:numFmt w:val="decimal"/>
      <w:pStyle w:val="ListNumber3"/>
      <w:lvlText w:val="%1."/>
      <w:lvlJc w:val="left"/>
      <w:pPr>
        <w:tabs>
          <w:tab w:val="num" w:pos="926"/>
        </w:tabs>
        <w:ind w:left="926" w:hanging="360"/>
      </w:pPr>
    </w:lvl>
  </w:abstractNum>
  <w:abstractNum w:abstractNumId="3">
    <w:nsid w:val="FFFFFF7F"/>
    <w:multiLevelType w:val="singleLevel"/>
    <w:tmpl w:val="6F1CF73A"/>
    <w:lvl w:ilvl="0">
      <w:start w:val="1"/>
      <w:numFmt w:val="decimal"/>
      <w:pStyle w:val="ListNumber2"/>
      <w:lvlText w:val="%1."/>
      <w:lvlJc w:val="left"/>
      <w:pPr>
        <w:tabs>
          <w:tab w:val="num" w:pos="643"/>
        </w:tabs>
        <w:ind w:left="643" w:hanging="360"/>
      </w:pPr>
    </w:lvl>
  </w:abstractNum>
  <w:abstractNum w:abstractNumId="4">
    <w:nsid w:val="FFFFFF80"/>
    <w:multiLevelType w:val="singleLevel"/>
    <w:tmpl w:val="2380266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0C2C34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482EC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666B2C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2760110"/>
    <w:lvl w:ilvl="0">
      <w:start w:val="1"/>
      <w:numFmt w:val="decimal"/>
      <w:pStyle w:val="ListNumber"/>
      <w:lvlText w:val="%1."/>
      <w:lvlJc w:val="left"/>
      <w:pPr>
        <w:tabs>
          <w:tab w:val="num" w:pos="360"/>
        </w:tabs>
        <w:ind w:left="360" w:hanging="360"/>
      </w:pPr>
    </w:lvl>
  </w:abstractNum>
  <w:abstractNum w:abstractNumId="9">
    <w:nsid w:val="0066004F"/>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163F153D"/>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DB3476D"/>
    <w:multiLevelType w:val="hybridMultilevel"/>
    <w:tmpl w:val="E7F0600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3">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7737461D"/>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2"/>
  </w:num>
  <w:num w:numId="2">
    <w:abstractNumId w:val="10"/>
  </w:num>
  <w:num w:numId="3">
    <w:abstractNumId w:val="9"/>
  </w:num>
  <w:num w:numId="4">
    <w:abstractNumId w:val="14"/>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SystemFonts/>
  <w:proofState w:spelling="clean" w:grammar="clean"/>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709"/>
  <w:hyphenationZone w:val="425"/>
  <w:evenAndOddHeaders/>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NatAutre" w:val="0"/>
    <w:docVar w:name="DocVarPREMATURE" w:val="0"/>
    <w:docVar w:name="EMM" w:val="0"/>
    <w:docVar w:name="ETRANSMISSION" w:val="BY E-TRANSMISSION ONLY"/>
    <w:docVar w:name="L4_1Annex" w:val="0"/>
    <w:docVar w:name="L4_1Anonymity" w:val="0"/>
    <w:docVar w:name="NBEMMDOC" w:val="0"/>
    <w:docVar w:name="SignForeName" w:val="0"/>
  </w:docVars>
  <w:rsids>
    <w:rsidRoot w:val="00634F53"/>
    <w:rsid w:val="00000991"/>
    <w:rsid w:val="00001CC5"/>
    <w:rsid w:val="00002933"/>
    <w:rsid w:val="00002DD1"/>
    <w:rsid w:val="000039C0"/>
    <w:rsid w:val="000042D1"/>
    <w:rsid w:val="00006C51"/>
    <w:rsid w:val="00007B38"/>
    <w:rsid w:val="0001136E"/>
    <w:rsid w:val="00012A0A"/>
    <w:rsid w:val="00013324"/>
    <w:rsid w:val="00013894"/>
    <w:rsid w:val="0001799D"/>
    <w:rsid w:val="000215BF"/>
    <w:rsid w:val="000241A0"/>
    <w:rsid w:val="00026730"/>
    <w:rsid w:val="0003284D"/>
    <w:rsid w:val="00033160"/>
    <w:rsid w:val="00033FD2"/>
    <w:rsid w:val="0003679E"/>
    <w:rsid w:val="00042867"/>
    <w:rsid w:val="00044ABA"/>
    <w:rsid w:val="00045331"/>
    <w:rsid w:val="0005170E"/>
    <w:rsid w:val="00052A35"/>
    <w:rsid w:val="00053AB4"/>
    <w:rsid w:val="0005522C"/>
    <w:rsid w:val="00055AC1"/>
    <w:rsid w:val="00055B0F"/>
    <w:rsid w:val="00056145"/>
    <w:rsid w:val="0005625A"/>
    <w:rsid w:val="0006160F"/>
    <w:rsid w:val="00064F2E"/>
    <w:rsid w:val="000672EC"/>
    <w:rsid w:val="000726F6"/>
    <w:rsid w:val="00075E3F"/>
    <w:rsid w:val="00076A67"/>
    <w:rsid w:val="00080330"/>
    <w:rsid w:val="00085837"/>
    <w:rsid w:val="00085B3A"/>
    <w:rsid w:val="00090C27"/>
    <w:rsid w:val="00090C82"/>
    <w:rsid w:val="0009240E"/>
    <w:rsid w:val="0009297E"/>
    <w:rsid w:val="0009409F"/>
    <w:rsid w:val="00096E33"/>
    <w:rsid w:val="000A1AA3"/>
    <w:rsid w:val="000A1FBB"/>
    <w:rsid w:val="000B0BB7"/>
    <w:rsid w:val="000B3427"/>
    <w:rsid w:val="000B55DE"/>
    <w:rsid w:val="000C52D5"/>
    <w:rsid w:val="000D204C"/>
    <w:rsid w:val="000D6108"/>
    <w:rsid w:val="000E1449"/>
    <w:rsid w:val="000E4A13"/>
    <w:rsid w:val="000E5865"/>
    <w:rsid w:val="000E6F67"/>
    <w:rsid w:val="000E7C18"/>
    <w:rsid w:val="000F058F"/>
    <w:rsid w:val="000F4407"/>
    <w:rsid w:val="000F699D"/>
    <w:rsid w:val="000F6F28"/>
    <w:rsid w:val="001047FD"/>
    <w:rsid w:val="00104AD1"/>
    <w:rsid w:val="00110247"/>
    <w:rsid w:val="00111D99"/>
    <w:rsid w:val="001120B0"/>
    <w:rsid w:val="001138A3"/>
    <w:rsid w:val="0011665B"/>
    <w:rsid w:val="0012168C"/>
    <w:rsid w:val="00123AE4"/>
    <w:rsid w:val="00126213"/>
    <w:rsid w:val="00126D24"/>
    <w:rsid w:val="0013290F"/>
    <w:rsid w:val="001341B6"/>
    <w:rsid w:val="00136B5C"/>
    <w:rsid w:val="00147681"/>
    <w:rsid w:val="00151CCA"/>
    <w:rsid w:val="00157BD8"/>
    <w:rsid w:val="00160438"/>
    <w:rsid w:val="00165FB0"/>
    <w:rsid w:val="001702A1"/>
    <w:rsid w:val="00171962"/>
    <w:rsid w:val="00172A33"/>
    <w:rsid w:val="00174A6F"/>
    <w:rsid w:val="00174DAE"/>
    <w:rsid w:val="00176A4D"/>
    <w:rsid w:val="001812B2"/>
    <w:rsid w:val="00181E4A"/>
    <w:rsid w:val="00184F8E"/>
    <w:rsid w:val="0019316A"/>
    <w:rsid w:val="0019388B"/>
    <w:rsid w:val="00195378"/>
    <w:rsid w:val="00197C29"/>
    <w:rsid w:val="001A0EBE"/>
    <w:rsid w:val="001A2CB2"/>
    <w:rsid w:val="001A5E09"/>
    <w:rsid w:val="001A781E"/>
    <w:rsid w:val="001B0DF8"/>
    <w:rsid w:val="001B2EFC"/>
    <w:rsid w:val="001B62B1"/>
    <w:rsid w:val="001B6713"/>
    <w:rsid w:val="001B74F7"/>
    <w:rsid w:val="001C1722"/>
    <w:rsid w:val="001C20C0"/>
    <w:rsid w:val="001C77A7"/>
    <w:rsid w:val="001D37AA"/>
    <w:rsid w:val="001F07E8"/>
    <w:rsid w:val="001F1386"/>
    <w:rsid w:val="001F5586"/>
    <w:rsid w:val="001F5AB7"/>
    <w:rsid w:val="00201842"/>
    <w:rsid w:val="00202F56"/>
    <w:rsid w:val="002041E3"/>
    <w:rsid w:val="00225BE5"/>
    <w:rsid w:val="002266CD"/>
    <w:rsid w:val="0023136E"/>
    <w:rsid w:val="002320C6"/>
    <w:rsid w:val="00241896"/>
    <w:rsid w:val="002420A8"/>
    <w:rsid w:val="00250CBB"/>
    <w:rsid w:val="00252AB7"/>
    <w:rsid w:val="00252B31"/>
    <w:rsid w:val="00254DEE"/>
    <w:rsid w:val="002563F5"/>
    <w:rsid w:val="00265471"/>
    <w:rsid w:val="0026789F"/>
    <w:rsid w:val="00267E01"/>
    <w:rsid w:val="00271A81"/>
    <w:rsid w:val="00271E9B"/>
    <w:rsid w:val="002775DB"/>
    <w:rsid w:val="00285786"/>
    <w:rsid w:val="00287360"/>
    <w:rsid w:val="00291537"/>
    <w:rsid w:val="00291D2C"/>
    <w:rsid w:val="00293810"/>
    <w:rsid w:val="00293BDE"/>
    <w:rsid w:val="00293D15"/>
    <w:rsid w:val="00295608"/>
    <w:rsid w:val="00296B76"/>
    <w:rsid w:val="00297942"/>
    <w:rsid w:val="002A1B82"/>
    <w:rsid w:val="002A2457"/>
    <w:rsid w:val="002A3A18"/>
    <w:rsid w:val="002A4296"/>
    <w:rsid w:val="002A4EC9"/>
    <w:rsid w:val="002A5746"/>
    <w:rsid w:val="002A729F"/>
    <w:rsid w:val="002A7E99"/>
    <w:rsid w:val="002B04DE"/>
    <w:rsid w:val="002B18B7"/>
    <w:rsid w:val="002B2B0A"/>
    <w:rsid w:val="002B449A"/>
    <w:rsid w:val="002B4C89"/>
    <w:rsid w:val="002C121E"/>
    <w:rsid w:val="002C7D3E"/>
    <w:rsid w:val="002D3686"/>
    <w:rsid w:val="002D3AB7"/>
    <w:rsid w:val="002D400D"/>
    <w:rsid w:val="002E2EAF"/>
    <w:rsid w:val="002E52B2"/>
    <w:rsid w:val="002E6A74"/>
    <w:rsid w:val="002E72F6"/>
    <w:rsid w:val="002F36EB"/>
    <w:rsid w:val="002F4BCF"/>
    <w:rsid w:val="002F6FE9"/>
    <w:rsid w:val="00300589"/>
    <w:rsid w:val="0030173E"/>
    <w:rsid w:val="00302008"/>
    <w:rsid w:val="003020C4"/>
    <w:rsid w:val="003037CB"/>
    <w:rsid w:val="003104E9"/>
    <w:rsid w:val="0031573C"/>
    <w:rsid w:val="00316EEC"/>
    <w:rsid w:val="00317A3E"/>
    <w:rsid w:val="0032093A"/>
    <w:rsid w:val="00321657"/>
    <w:rsid w:val="00322C4F"/>
    <w:rsid w:val="00325C2B"/>
    <w:rsid w:val="00332547"/>
    <w:rsid w:val="003348EB"/>
    <w:rsid w:val="00334E39"/>
    <w:rsid w:val="00335BC3"/>
    <w:rsid w:val="00335FD8"/>
    <w:rsid w:val="00336887"/>
    <w:rsid w:val="00337600"/>
    <w:rsid w:val="003403BB"/>
    <w:rsid w:val="00344D2F"/>
    <w:rsid w:val="0034580F"/>
    <w:rsid w:val="00346704"/>
    <w:rsid w:val="00347A3A"/>
    <w:rsid w:val="003506C9"/>
    <w:rsid w:val="003525E4"/>
    <w:rsid w:val="003536EC"/>
    <w:rsid w:val="00355F8F"/>
    <w:rsid w:val="00357C6A"/>
    <w:rsid w:val="00371277"/>
    <w:rsid w:val="003717A6"/>
    <w:rsid w:val="0037228D"/>
    <w:rsid w:val="003810BF"/>
    <w:rsid w:val="00386057"/>
    <w:rsid w:val="0038625A"/>
    <w:rsid w:val="003A64D3"/>
    <w:rsid w:val="003A6631"/>
    <w:rsid w:val="003B41C7"/>
    <w:rsid w:val="003B50D7"/>
    <w:rsid w:val="003C02B9"/>
    <w:rsid w:val="003C1DEA"/>
    <w:rsid w:val="003C5598"/>
    <w:rsid w:val="003D5752"/>
    <w:rsid w:val="003E2006"/>
    <w:rsid w:val="003E2CC6"/>
    <w:rsid w:val="003E319C"/>
    <w:rsid w:val="003F3BFD"/>
    <w:rsid w:val="003F4CFA"/>
    <w:rsid w:val="00400529"/>
    <w:rsid w:val="00401C5B"/>
    <w:rsid w:val="00405AA4"/>
    <w:rsid w:val="00410E88"/>
    <w:rsid w:val="00412F5F"/>
    <w:rsid w:val="00413EFC"/>
    <w:rsid w:val="0041549A"/>
    <w:rsid w:val="004211D3"/>
    <w:rsid w:val="004214B5"/>
    <w:rsid w:val="004218BE"/>
    <w:rsid w:val="00423352"/>
    <w:rsid w:val="004275F8"/>
    <w:rsid w:val="00433CB6"/>
    <w:rsid w:val="00434F1D"/>
    <w:rsid w:val="00436194"/>
    <w:rsid w:val="00436D2D"/>
    <w:rsid w:val="004406AA"/>
    <w:rsid w:val="004438F2"/>
    <w:rsid w:val="00452CF1"/>
    <w:rsid w:val="00457A18"/>
    <w:rsid w:val="00460D48"/>
    <w:rsid w:val="00460FAD"/>
    <w:rsid w:val="0046418D"/>
    <w:rsid w:val="0046428E"/>
    <w:rsid w:val="00465AD7"/>
    <w:rsid w:val="00471247"/>
    <w:rsid w:val="00471505"/>
    <w:rsid w:val="00473882"/>
    <w:rsid w:val="00477A69"/>
    <w:rsid w:val="004847E1"/>
    <w:rsid w:val="00485A27"/>
    <w:rsid w:val="00485A6F"/>
    <w:rsid w:val="004920B1"/>
    <w:rsid w:val="00495D58"/>
    <w:rsid w:val="004A1276"/>
    <w:rsid w:val="004A13BA"/>
    <w:rsid w:val="004A3B3A"/>
    <w:rsid w:val="004B10EF"/>
    <w:rsid w:val="004B1DB0"/>
    <w:rsid w:val="004C25C2"/>
    <w:rsid w:val="004C5FA7"/>
    <w:rsid w:val="004D1F5C"/>
    <w:rsid w:val="004E24A0"/>
    <w:rsid w:val="004E593B"/>
    <w:rsid w:val="004E5DFC"/>
    <w:rsid w:val="004F1ED2"/>
    <w:rsid w:val="004F1F15"/>
    <w:rsid w:val="004F1F3F"/>
    <w:rsid w:val="004F3620"/>
    <w:rsid w:val="004F44C3"/>
    <w:rsid w:val="0050096C"/>
    <w:rsid w:val="00513132"/>
    <w:rsid w:val="00513446"/>
    <w:rsid w:val="00514476"/>
    <w:rsid w:val="00516EBF"/>
    <w:rsid w:val="0052198D"/>
    <w:rsid w:val="00522362"/>
    <w:rsid w:val="00523D3D"/>
    <w:rsid w:val="00524FFC"/>
    <w:rsid w:val="005257C3"/>
    <w:rsid w:val="00536C91"/>
    <w:rsid w:val="005419B6"/>
    <w:rsid w:val="00546F49"/>
    <w:rsid w:val="005509DA"/>
    <w:rsid w:val="00552DC9"/>
    <w:rsid w:val="00553AB2"/>
    <w:rsid w:val="00556772"/>
    <w:rsid w:val="0055733C"/>
    <w:rsid w:val="005639A9"/>
    <w:rsid w:val="00564612"/>
    <w:rsid w:val="0056771C"/>
    <w:rsid w:val="005777BA"/>
    <w:rsid w:val="00577E6A"/>
    <w:rsid w:val="00582D1B"/>
    <w:rsid w:val="00584499"/>
    <w:rsid w:val="00584A11"/>
    <w:rsid w:val="005874FF"/>
    <w:rsid w:val="00591B3F"/>
    <w:rsid w:val="0059428D"/>
    <w:rsid w:val="005944D6"/>
    <w:rsid w:val="005944F3"/>
    <w:rsid w:val="00595C5D"/>
    <w:rsid w:val="005A022A"/>
    <w:rsid w:val="005A2A44"/>
    <w:rsid w:val="005A3D27"/>
    <w:rsid w:val="005A694A"/>
    <w:rsid w:val="005B16A8"/>
    <w:rsid w:val="005B4233"/>
    <w:rsid w:val="005B67D8"/>
    <w:rsid w:val="005C0012"/>
    <w:rsid w:val="005C1929"/>
    <w:rsid w:val="005C1956"/>
    <w:rsid w:val="005C2C88"/>
    <w:rsid w:val="005C3993"/>
    <w:rsid w:val="005C41CB"/>
    <w:rsid w:val="005C75F3"/>
    <w:rsid w:val="005D1B72"/>
    <w:rsid w:val="005D5054"/>
    <w:rsid w:val="005D5564"/>
    <w:rsid w:val="005D78E0"/>
    <w:rsid w:val="005E3603"/>
    <w:rsid w:val="005E384F"/>
    <w:rsid w:val="005F3220"/>
    <w:rsid w:val="005F4753"/>
    <w:rsid w:val="005F4E38"/>
    <w:rsid w:val="005F7A10"/>
    <w:rsid w:val="006053AC"/>
    <w:rsid w:val="0060635D"/>
    <w:rsid w:val="00606E4B"/>
    <w:rsid w:val="00607EDD"/>
    <w:rsid w:val="006111FF"/>
    <w:rsid w:val="006138EA"/>
    <w:rsid w:val="006165BA"/>
    <w:rsid w:val="00625699"/>
    <w:rsid w:val="00626EDB"/>
    <w:rsid w:val="0062787C"/>
    <w:rsid w:val="00632A2E"/>
    <w:rsid w:val="00633478"/>
    <w:rsid w:val="00634F53"/>
    <w:rsid w:val="00640B82"/>
    <w:rsid w:val="006436B4"/>
    <w:rsid w:val="00655126"/>
    <w:rsid w:val="00661A09"/>
    <w:rsid w:val="006639B6"/>
    <w:rsid w:val="00674620"/>
    <w:rsid w:val="00675AE1"/>
    <w:rsid w:val="0067644F"/>
    <w:rsid w:val="00680CFA"/>
    <w:rsid w:val="00683826"/>
    <w:rsid w:val="0068485C"/>
    <w:rsid w:val="006907C8"/>
    <w:rsid w:val="00691042"/>
    <w:rsid w:val="00692128"/>
    <w:rsid w:val="00695E76"/>
    <w:rsid w:val="00697F14"/>
    <w:rsid w:val="006A3D9D"/>
    <w:rsid w:val="006A7C48"/>
    <w:rsid w:val="006B22C0"/>
    <w:rsid w:val="006C14A0"/>
    <w:rsid w:val="006C2701"/>
    <w:rsid w:val="006C2B52"/>
    <w:rsid w:val="006C35C5"/>
    <w:rsid w:val="006C5A7D"/>
    <w:rsid w:val="006C74E3"/>
    <w:rsid w:val="006D0487"/>
    <w:rsid w:val="006D43C8"/>
    <w:rsid w:val="006D663E"/>
    <w:rsid w:val="006D71BC"/>
    <w:rsid w:val="006E0D61"/>
    <w:rsid w:val="006E2CA6"/>
    <w:rsid w:val="006E6D33"/>
    <w:rsid w:val="006E72FD"/>
    <w:rsid w:val="006E7307"/>
    <w:rsid w:val="006F13A8"/>
    <w:rsid w:val="006F4751"/>
    <w:rsid w:val="00700222"/>
    <w:rsid w:val="00701A08"/>
    <w:rsid w:val="00704C07"/>
    <w:rsid w:val="007156E0"/>
    <w:rsid w:val="00730053"/>
    <w:rsid w:val="00730433"/>
    <w:rsid w:val="00733037"/>
    <w:rsid w:val="007352DD"/>
    <w:rsid w:val="0073565C"/>
    <w:rsid w:val="00744DC6"/>
    <w:rsid w:val="0074721E"/>
    <w:rsid w:val="00750E5E"/>
    <w:rsid w:val="00751C24"/>
    <w:rsid w:val="00754ABE"/>
    <w:rsid w:val="00756A91"/>
    <w:rsid w:val="00756D5B"/>
    <w:rsid w:val="007603BB"/>
    <w:rsid w:val="0076505C"/>
    <w:rsid w:val="007732D9"/>
    <w:rsid w:val="007756F8"/>
    <w:rsid w:val="00775B93"/>
    <w:rsid w:val="00776807"/>
    <w:rsid w:val="0077789B"/>
    <w:rsid w:val="00777D97"/>
    <w:rsid w:val="0078062F"/>
    <w:rsid w:val="007827E7"/>
    <w:rsid w:val="00784828"/>
    <w:rsid w:val="0079163D"/>
    <w:rsid w:val="0079187F"/>
    <w:rsid w:val="007A0960"/>
    <w:rsid w:val="007A1FFE"/>
    <w:rsid w:val="007A357A"/>
    <w:rsid w:val="007A6DBA"/>
    <w:rsid w:val="007A6F7F"/>
    <w:rsid w:val="007A718C"/>
    <w:rsid w:val="007B03C9"/>
    <w:rsid w:val="007B2958"/>
    <w:rsid w:val="007B7F42"/>
    <w:rsid w:val="007C090B"/>
    <w:rsid w:val="007C1CE3"/>
    <w:rsid w:val="007C1CE5"/>
    <w:rsid w:val="007C1DCB"/>
    <w:rsid w:val="007D0D75"/>
    <w:rsid w:val="007D35B4"/>
    <w:rsid w:val="007D3928"/>
    <w:rsid w:val="007E5B94"/>
    <w:rsid w:val="007E603C"/>
    <w:rsid w:val="007F3424"/>
    <w:rsid w:val="007F375B"/>
    <w:rsid w:val="007F68B2"/>
    <w:rsid w:val="007F735A"/>
    <w:rsid w:val="00800320"/>
    <w:rsid w:val="00805AF8"/>
    <w:rsid w:val="00806E5F"/>
    <w:rsid w:val="00816286"/>
    <w:rsid w:val="00820CA3"/>
    <w:rsid w:val="008222CD"/>
    <w:rsid w:val="00831329"/>
    <w:rsid w:val="00834D7E"/>
    <w:rsid w:val="00835CB5"/>
    <w:rsid w:val="008367C6"/>
    <w:rsid w:val="00841D09"/>
    <w:rsid w:val="008441B8"/>
    <w:rsid w:val="00846856"/>
    <w:rsid w:val="00851F3A"/>
    <w:rsid w:val="00853345"/>
    <w:rsid w:val="00855D64"/>
    <w:rsid w:val="00856D79"/>
    <w:rsid w:val="008601F7"/>
    <w:rsid w:val="0086333E"/>
    <w:rsid w:val="00864209"/>
    <w:rsid w:val="0086472D"/>
    <w:rsid w:val="00864D90"/>
    <w:rsid w:val="00865450"/>
    <w:rsid w:val="00870E85"/>
    <w:rsid w:val="008760BB"/>
    <w:rsid w:val="008801A1"/>
    <w:rsid w:val="00880A83"/>
    <w:rsid w:val="008824B9"/>
    <w:rsid w:val="0088315D"/>
    <w:rsid w:val="008833BE"/>
    <w:rsid w:val="00884205"/>
    <w:rsid w:val="00886BB5"/>
    <w:rsid w:val="00893782"/>
    <w:rsid w:val="008A1523"/>
    <w:rsid w:val="008A5769"/>
    <w:rsid w:val="008A6FE0"/>
    <w:rsid w:val="008B05B3"/>
    <w:rsid w:val="008B5BFB"/>
    <w:rsid w:val="008B7BEF"/>
    <w:rsid w:val="008C39B5"/>
    <w:rsid w:val="008C60EE"/>
    <w:rsid w:val="008C6F68"/>
    <w:rsid w:val="008C781F"/>
    <w:rsid w:val="008C7D39"/>
    <w:rsid w:val="008D7BF2"/>
    <w:rsid w:val="008E05A3"/>
    <w:rsid w:val="008E5B72"/>
    <w:rsid w:val="008F1809"/>
    <w:rsid w:val="008F5847"/>
    <w:rsid w:val="008F7595"/>
    <w:rsid w:val="00900ADE"/>
    <w:rsid w:val="00900F2B"/>
    <w:rsid w:val="00901475"/>
    <w:rsid w:val="00902548"/>
    <w:rsid w:val="0090484C"/>
    <w:rsid w:val="00907902"/>
    <w:rsid w:val="00911A4E"/>
    <w:rsid w:val="00911A6D"/>
    <w:rsid w:val="00912B49"/>
    <w:rsid w:val="009167A0"/>
    <w:rsid w:val="009169BC"/>
    <w:rsid w:val="009179EB"/>
    <w:rsid w:val="00920231"/>
    <w:rsid w:val="00927277"/>
    <w:rsid w:val="00930CD7"/>
    <w:rsid w:val="009317A4"/>
    <w:rsid w:val="00931C2C"/>
    <w:rsid w:val="0093297A"/>
    <w:rsid w:val="00932C7B"/>
    <w:rsid w:val="0094239F"/>
    <w:rsid w:val="0094463E"/>
    <w:rsid w:val="00956501"/>
    <w:rsid w:val="009621FB"/>
    <w:rsid w:val="00963B42"/>
    <w:rsid w:val="00965BD4"/>
    <w:rsid w:val="00965DB8"/>
    <w:rsid w:val="0097140E"/>
    <w:rsid w:val="0097640F"/>
    <w:rsid w:val="009826D3"/>
    <w:rsid w:val="00983275"/>
    <w:rsid w:val="0098425E"/>
    <w:rsid w:val="0098535B"/>
    <w:rsid w:val="0099561C"/>
    <w:rsid w:val="00995F44"/>
    <w:rsid w:val="009A0C52"/>
    <w:rsid w:val="009A5536"/>
    <w:rsid w:val="009A553F"/>
    <w:rsid w:val="009A6925"/>
    <w:rsid w:val="009A7AEB"/>
    <w:rsid w:val="009B0194"/>
    <w:rsid w:val="009B039E"/>
    <w:rsid w:val="009B053D"/>
    <w:rsid w:val="009B15A1"/>
    <w:rsid w:val="009B605B"/>
    <w:rsid w:val="009C2326"/>
    <w:rsid w:val="009C2974"/>
    <w:rsid w:val="009C2C58"/>
    <w:rsid w:val="009C4AB5"/>
    <w:rsid w:val="009C5183"/>
    <w:rsid w:val="009D46D7"/>
    <w:rsid w:val="009D4B87"/>
    <w:rsid w:val="009E0147"/>
    <w:rsid w:val="009E3F29"/>
    <w:rsid w:val="009F0055"/>
    <w:rsid w:val="009F07CC"/>
    <w:rsid w:val="009F18CE"/>
    <w:rsid w:val="009F1D27"/>
    <w:rsid w:val="009F5625"/>
    <w:rsid w:val="00A000A9"/>
    <w:rsid w:val="00A00AF2"/>
    <w:rsid w:val="00A012A5"/>
    <w:rsid w:val="00A01BFA"/>
    <w:rsid w:val="00A04E02"/>
    <w:rsid w:val="00A06A89"/>
    <w:rsid w:val="00A135BE"/>
    <w:rsid w:val="00A2573C"/>
    <w:rsid w:val="00A32B81"/>
    <w:rsid w:val="00A35C44"/>
    <w:rsid w:val="00A35C98"/>
    <w:rsid w:val="00A35F35"/>
    <w:rsid w:val="00A36290"/>
    <w:rsid w:val="00A37157"/>
    <w:rsid w:val="00A403F9"/>
    <w:rsid w:val="00A42130"/>
    <w:rsid w:val="00A45406"/>
    <w:rsid w:val="00A4774B"/>
    <w:rsid w:val="00A50B7E"/>
    <w:rsid w:val="00A5331A"/>
    <w:rsid w:val="00A60E91"/>
    <w:rsid w:val="00A62C8C"/>
    <w:rsid w:val="00A650CF"/>
    <w:rsid w:val="00A65210"/>
    <w:rsid w:val="00A6675B"/>
    <w:rsid w:val="00A67695"/>
    <w:rsid w:val="00A67C22"/>
    <w:rsid w:val="00A7049C"/>
    <w:rsid w:val="00A715D8"/>
    <w:rsid w:val="00A75C71"/>
    <w:rsid w:val="00A7636E"/>
    <w:rsid w:val="00A80135"/>
    <w:rsid w:val="00A82AC4"/>
    <w:rsid w:val="00A8381C"/>
    <w:rsid w:val="00A911DB"/>
    <w:rsid w:val="00A92708"/>
    <w:rsid w:val="00AA0A20"/>
    <w:rsid w:val="00AA2B6A"/>
    <w:rsid w:val="00AA2E49"/>
    <w:rsid w:val="00AA373E"/>
    <w:rsid w:val="00AA6CAF"/>
    <w:rsid w:val="00AA7CA2"/>
    <w:rsid w:val="00AB0594"/>
    <w:rsid w:val="00AB10E9"/>
    <w:rsid w:val="00AB2166"/>
    <w:rsid w:val="00AB43D9"/>
    <w:rsid w:val="00AB5D09"/>
    <w:rsid w:val="00AC0873"/>
    <w:rsid w:val="00AC134B"/>
    <w:rsid w:val="00AC4995"/>
    <w:rsid w:val="00AC4B9B"/>
    <w:rsid w:val="00AD0510"/>
    <w:rsid w:val="00AD54E5"/>
    <w:rsid w:val="00AD57B2"/>
    <w:rsid w:val="00AD6F52"/>
    <w:rsid w:val="00AE2F4F"/>
    <w:rsid w:val="00AE4341"/>
    <w:rsid w:val="00AE4AB2"/>
    <w:rsid w:val="00AE5CA4"/>
    <w:rsid w:val="00AF7C99"/>
    <w:rsid w:val="00AF7FF4"/>
    <w:rsid w:val="00B015CB"/>
    <w:rsid w:val="00B01CF0"/>
    <w:rsid w:val="00B030BE"/>
    <w:rsid w:val="00B038DA"/>
    <w:rsid w:val="00B0594B"/>
    <w:rsid w:val="00B06C20"/>
    <w:rsid w:val="00B11015"/>
    <w:rsid w:val="00B122EA"/>
    <w:rsid w:val="00B15FCB"/>
    <w:rsid w:val="00B27720"/>
    <w:rsid w:val="00B31AA8"/>
    <w:rsid w:val="00B31F96"/>
    <w:rsid w:val="00B324A5"/>
    <w:rsid w:val="00B3608A"/>
    <w:rsid w:val="00B40E1F"/>
    <w:rsid w:val="00B43121"/>
    <w:rsid w:val="00B4551C"/>
    <w:rsid w:val="00B460AF"/>
    <w:rsid w:val="00B46173"/>
    <w:rsid w:val="00B46EBD"/>
    <w:rsid w:val="00B476BE"/>
    <w:rsid w:val="00B52010"/>
    <w:rsid w:val="00B574E7"/>
    <w:rsid w:val="00B6096F"/>
    <w:rsid w:val="00B6108B"/>
    <w:rsid w:val="00B62F3B"/>
    <w:rsid w:val="00B64488"/>
    <w:rsid w:val="00B662B2"/>
    <w:rsid w:val="00B6763B"/>
    <w:rsid w:val="00B67CBD"/>
    <w:rsid w:val="00B67E5E"/>
    <w:rsid w:val="00B70A13"/>
    <w:rsid w:val="00B743BC"/>
    <w:rsid w:val="00B76A2D"/>
    <w:rsid w:val="00B80483"/>
    <w:rsid w:val="00B81192"/>
    <w:rsid w:val="00B8262D"/>
    <w:rsid w:val="00B87746"/>
    <w:rsid w:val="00B91945"/>
    <w:rsid w:val="00B921A8"/>
    <w:rsid w:val="00B942B0"/>
    <w:rsid w:val="00BA1093"/>
    <w:rsid w:val="00BA4F3C"/>
    <w:rsid w:val="00BB13E6"/>
    <w:rsid w:val="00BB18DA"/>
    <w:rsid w:val="00BB1E8A"/>
    <w:rsid w:val="00BB466A"/>
    <w:rsid w:val="00BC15BD"/>
    <w:rsid w:val="00BC4361"/>
    <w:rsid w:val="00BC7EEE"/>
    <w:rsid w:val="00BD19AE"/>
    <w:rsid w:val="00BD402D"/>
    <w:rsid w:val="00BD6A83"/>
    <w:rsid w:val="00BE3FCB"/>
    <w:rsid w:val="00BE50FE"/>
    <w:rsid w:val="00BE5958"/>
    <w:rsid w:val="00BF071D"/>
    <w:rsid w:val="00BF255A"/>
    <w:rsid w:val="00BF44BF"/>
    <w:rsid w:val="00C00FE9"/>
    <w:rsid w:val="00C01E1C"/>
    <w:rsid w:val="00C02E48"/>
    <w:rsid w:val="00C1005C"/>
    <w:rsid w:val="00C11E71"/>
    <w:rsid w:val="00C138EA"/>
    <w:rsid w:val="00C13BFB"/>
    <w:rsid w:val="00C2608D"/>
    <w:rsid w:val="00C26466"/>
    <w:rsid w:val="00C27C54"/>
    <w:rsid w:val="00C27EF9"/>
    <w:rsid w:val="00C3018F"/>
    <w:rsid w:val="00C30316"/>
    <w:rsid w:val="00C30671"/>
    <w:rsid w:val="00C3216D"/>
    <w:rsid w:val="00C345DE"/>
    <w:rsid w:val="00C41462"/>
    <w:rsid w:val="00C414A0"/>
    <w:rsid w:val="00C434AE"/>
    <w:rsid w:val="00C47696"/>
    <w:rsid w:val="00C47EAC"/>
    <w:rsid w:val="00C53BED"/>
    <w:rsid w:val="00C540FC"/>
    <w:rsid w:val="00C55DDE"/>
    <w:rsid w:val="00C577C8"/>
    <w:rsid w:val="00C632BB"/>
    <w:rsid w:val="00C63E30"/>
    <w:rsid w:val="00C65C91"/>
    <w:rsid w:val="00C73967"/>
    <w:rsid w:val="00C7494C"/>
    <w:rsid w:val="00C74C8C"/>
    <w:rsid w:val="00C82FDF"/>
    <w:rsid w:val="00C84877"/>
    <w:rsid w:val="00C94023"/>
    <w:rsid w:val="00C953B6"/>
    <w:rsid w:val="00C96E85"/>
    <w:rsid w:val="00C96EBF"/>
    <w:rsid w:val="00C97897"/>
    <w:rsid w:val="00CA3820"/>
    <w:rsid w:val="00CA46F6"/>
    <w:rsid w:val="00CA640F"/>
    <w:rsid w:val="00CB5E1B"/>
    <w:rsid w:val="00CC17F5"/>
    <w:rsid w:val="00CC1E2A"/>
    <w:rsid w:val="00CC1FAA"/>
    <w:rsid w:val="00CC5510"/>
    <w:rsid w:val="00CC6623"/>
    <w:rsid w:val="00CD0699"/>
    <w:rsid w:val="00CD31A0"/>
    <w:rsid w:val="00CD3304"/>
    <w:rsid w:val="00CD5D90"/>
    <w:rsid w:val="00CE1C9D"/>
    <w:rsid w:val="00CE464B"/>
    <w:rsid w:val="00CE5750"/>
    <w:rsid w:val="00CF0BA1"/>
    <w:rsid w:val="00CF166A"/>
    <w:rsid w:val="00CF3BFB"/>
    <w:rsid w:val="00D00569"/>
    <w:rsid w:val="00D043A3"/>
    <w:rsid w:val="00D102A7"/>
    <w:rsid w:val="00D1288A"/>
    <w:rsid w:val="00D13916"/>
    <w:rsid w:val="00D15473"/>
    <w:rsid w:val="00D17924"/>
    <w:rsid w:val="00D30F97"/>
    <w:rsid w:val="00D33169"/>
    <w:rsid w:val="00D333B8"/>
    <w:rsid w:val="00D353F4"/>
    <w:rsid w:val="00D357B5"/>
    <w:rsid w:val="00D36DD7"/>
    <w:rsid w:val="00D37BB1"/>
    <w:rsid w:val="00D40FB9"/>
    <w:rsid w:val="00D41465"/>
    <w:rsid w:val="00D43E35"/>
    <w:rsid w:val="00D44EA3"/>
    <w:rsid w:val="00D471CA"/>
    <w:rsid w:val="00D51ABD"/>
    <w:rsid w:val="00D54F9B"/>
    <w:rsid w:val="00D56B5D"/>
    <w:rsid w:val="00D63793"/>
    <w:rsid w:val="00D64ECF"/>
    <w:rsid w:val="00D654DA"/>
    <w:rsid w:val="00D66945"/>
    <w:rsid w:val="00D73611"/>
    <w:rsid w:val="00D738CC"/>
    <w:rsid w:val="00D74594"/>
    <w:rsid w:val="00D76B5D"/>
    <w:rsid w:val="00D83D9E"/>
    <w:rsid w:val="00D90810"/>
    <w:rsid w:val="00D9234C"/>
    <w:rsid w:val="00DB4066"/>
    <w:rsid w:val="00DB583D"/>
    <w:rsid w:val="00DB5B90"/>
    <w:rsid w:val="00DB63B6"/>
    <w:rsid w:val="00DB6D67"/>
    <w:rsid w:val="00DC2093"/>
    <w:rsid w:val="00DC5C22"/>
    <w:rsid w:val="00DC7582"/>
    <w:rsid w:val="00DD0E34"/>
    <w:rsid w:val="00DD6E59"/>
    <w:rsid w:val="00DE1463"/>
    <w:rsid w:val="00DE4AFF"/>
    <w:rsid w:val="00DE5217"/>
    <w:rsid w:val="00DE5E8F"/>
    <w:rsid w:val="00DF06A0"/>
    <w:rsid w:val="00DF59D2"/>
    <w:rsid w:val="00E03B7E"/>
    <w:rsid w:val="00E0411E"/>
    <w:rsid w:val="00E07150"/>
    <w:rsid w:val="00E10FBD"/>
    <w:rsid w:val="00E14C97"/>
    <w:rsid w:val="00E15B30"/>
    <w:rsid w:val="00E23202"/>
    <w:rsid w:val="00E26010"/>
    <w:rsid w:val="00E32625"/>
    <w:rsid w:val="00E32971"/>
    <w:rsid w:val="00E422D1"/>
    <w:rsid w:val="00E4256A"/>
    <w:rsid w:val="00E44A68"/>
    <w:rsid w:val="00E469EF"/>
    <w:rsid w:val="00E50968"/>
    <w:rsid w:val="00E526A4"/>
    <w:rsid w:val="00E64DA4"/>
    <w:rsid w:val="00E72ABD"/>
    <w:rsid w:val="00E81663"/>
    <w:rsid w:val="00E81D9B"/>
    <w:rsid w:val="00E86F7E"/>
    <w:rsid w:val="00E904B2"/>
    <w:rsid w:val="00E9155E"/>
    <w:rsid w:val="00E91EA7"/>
    <w:rsid w:val="00E96FFE"/>
    <w:rsid w:val="00E973F5"/>
    <w:rsid w:val="00EA2AA9"/>
    <w:rsid w:val="00EA4C31"/>
    <w:rsid w:val="00EA5F48"/>
    <w:rsid w:val="00EB0CCC"/>
    <w:rsid w:val="00EB26D6"/>
    <w:rsid w:val="00EB2A33"/>
    <w:rsid w:val="00EB41E9"/>
    <w:rsid w:val="00EB4A3A"/>
    <w:rsid w:val="00EB5EBC"/>
    <w:rsid w:val="00EC1114"/>
    <w:rsid w:val="00ED12C3"/>
    <w:rsid w:val="00ED2B8E"/>
    <w:rsid w:val="00ED3AC7"/>
    <w:rsid w:val="00ED704F"/>
    <w:rsid w:val="00EE1252"/>
    <w:rsid w:val="00EE2CDD"/>
    <w:rsid w:val="00EE2F44"/>
    <w:rsid w:val="00EE3129"/>
    <w:rsid w:val="00EE47FF"/>
    <w:rsid w:val="00EE7911"/>
    <w:rsid w:val="00EF2384"/>
    <w:rsid w:val="00F00584"/>
    <w:rsid w:val="00F0182B"/>
    <w:rsid w:val="00F06B47"/>
    <w:rsid w:val="00F14EA5"/>
    <w:rsid w:val="00F22E8B"/>
    <w:rsid w:val="00F2358D"/>
    <w:rsid w:val="00F2790A"/>
    <w:rsid w:val="00F324E0"/>
    <w:rsid w:val="00F36FA0"/>
    <w:rsid w:val="00F42255"/>
    <w:rsid w:val="00F43FF3"/>
    <w:rsid w:val="00F5124B"/>
    <w:rsid w:val="00F5442A"/>
    <w:rsid w:val="00F62FA4"/>
    <w:rsid w:val="00F646DE"/>
    <w:rsid w:val="00F649CC"/>
    <w:rsid w:val="00F65C0D"/>
    <w:rsid w:val="00F67D59"/>
    <w:rsid w:val="00F71040"/>
    <w:rsid w:val="00F719A9"/>
    <w:rsid w:val="00F71A6A"/>
    <w:rsid w:val="00F73D18"/>
    <w:rsid w:val="00F76BD4"/>
    <w:rsid w:val="00F81A6F"/>
    <w:rsid w:val="00F83C59"/>
    <w:rsid w:val="00F8551E"/>
    <w:rsid w:val="00F867C4"/>
    <w:rsid w:val="00F9470E"/>
    <w:rsid w:val="00F94742"/>
    <w:rsid w:val="00FB1BD3"/>
    <w:rsid w:val="00FC5987"/>
    <w:rsid w:val="00FC62D6"/>
    <w:rsid w:val="00FC7AFD"/>
    <w:rsid w:val="00FD3E2F"/>
    <w:rsid w:val="00FD6642"/>
    <w:rsid w:val="00FE08EF"/>
    <w:rsid w:val="00FE32F0"/>
    <w:rsid w:val="00FE6E31"/>
    <w:rsid w:val="00FF462E"/>
    <w:rsid w:val="00FF4810"/>
    <w:rsid w:val="00FF74CA"/>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fr-FR" w:bidi="ar-SA"/>
      </w:rPr>
    </w:rPrDefault>
    <w:pPrDefault/>
  </w:docDefaults>
  <w:latentStyles w:defLockedState="0" w:defUIPriority="99" w:defSemiHidden="0" w:defUnhideWhenUsed="0" w:defQFormat="0" w:count="267">
    <w:lsdException w:name="Normal" w:uiPriority="0"/>
    <w:lsdException w:name="heading 5" w:qFormat="1"/>
    <w:lsdException w:name="heading 7" w:qFormat="1"/>
    <w:lsdException w:name="heading 8" w:qFormat="1"/>
    <w:lsdException w:name="heading 9" w:qFormat="1"/>
    <w:lsdException w:name="annotation text" w:uiPriority="0"/>
    <w:lsdException w:name="header" w:uiPriority="57"/>
    <w:lsdException w:name="footer" w:uiPriority="57"/>
    <w:lsdException w:name="caption" w:semiHidden="1" w:qFormat="1"/>
    <w:lsdException w:name="annotation reference" w:uiPriority="0"/>
    <w:lsdException w:name="Title" w:qFormat="1"/>
    <w:lsdException w:name="Default Paragraph Font" w:uiPriority="1"/>
    <w:lsdException w:name="Subtitle" w:qFormat="1"/>
    <w:lsdException w:name="Strong" w:qFormat="1"/>
    <w:lsdException w:name="Emphasis" w:qFormat="1"/>
    <w:lsdException w:name="HTML Top of Form" w:uiPriority="0"/>
    <w:lsdException w:name="HTML Bottom of Form" w:uiPriority="0"/>
    <w:lsdException w:name="Table Grid" w:uiPriority="59"/>
    <w:lsdException w:name="Placeholder Text" w:semiHidden="1"/>
    <w:lsdException w:name="No Spacing" w:uiPriority="0" w:qFormat="1"/>
    <w:lsdException w:name="Revision" w:semiHidden="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atentStyles>
  <w:style w:type="paragraph" w:default="1" w:styleId="Normal">
    <w:name w:val="Normal"/>
    <w:semiHidden/>
    <w:rsid w:val="009B0194"/>
    <w:pPr>
      <w:jc w:val="both"/>
    </w:pPr>
    <w:rPr>
      <w:rFonts w:eastAsiaTheme="minorEastAsia"/>
      <w:sz w:val="24"/>
      <w:lang w:val="en-US" w:eastAsia="en-US"/>
    </w:rPr>
  </w:style>
  <w:style w:type="paragraph" w:styleId="Heading1">
    <w:name w:val="heading 1"/>
    <w:basedOn w:val="Normal"/>
    <w:next w:val="Normal"/>
    <w:link w:val="Heading1Char"/>
    <w:uiPriority w:val="99"/>
    <w:semiHidden/>
    <w:rsid w:val="009B0194"/>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9B0194"/>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9B0194"/>
    <w:p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9B0194"/>
    <w:p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9B0194"/>
    <w:pPr>
      <w:spacing w:before="200"/>
      <w:outlineLvl w:val="4"/>
    </w:pPr>
    <w:rPr>
      <w:rFonts w:asciiTheme="majorHAnsi" w:eastAsiaTheme="majorEastAsia" w:hAnsiTheme="majorHAnsi" w:cstheme="majorBidi"/>
      <w:b/>
      <w:bCs/>
      <w:color w:val="808080"/>
      <w:sz w:val="22"/>
      <w:lang w:val="fr-FR" w:eastAsia="fr-FR"/>
    </w:rPr>
  </w:style>
  <w:style w:type="paragraph" w:styleId="Heading6">
    <w:name w:val="heading 6"/>
    <w:basedOn w:val="Normal"/>
    <w:next w:val="Normal"/>
    <w:link w:val="Heading6Char"/>
    <w:uiPriority w:val="99"/>
    <w:semiHidden/>
    <w:rsid w:val="009B0194"/>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9"/>
    <w:semiHidden/>
    <w:qFormat/>
    <w:rsid w:val="009B0194"/>
    <w:pPr>
      <w:outlineLvl w:val="6"/>
    </w:pPr>
    <w:rPr>
      <w:rFonts w:asciiTheme="majorHAnsi" w:eastAsiaTheme="majorEastAsia" w:hAnsiTheme="majorHAnsi" w:cstheme="majorBidi"/>
      <w:i/>
      <w:iCs/>
      <w:sz w:val="22"/>
      <w:lang w:val="fr-FR" w:eastAsia="fr-FR" w:bidi="en-US"/>
    </w:rPr>
  </w:style>
  <w:style w:type="paragraph" w:styleId="Heading8">
    <w:name w:val="heading 8"/>
    <w:basedOn w:val="Normal"/>
    <w:next w:val="Normal"/>
    <w:link w:val="Heading8Char"/>
    <w:uiPriority w:val="99"/>
    <w:semiHidden/>
    <w:qFormat/>
    <w:rsid w:val="009B0194"/>
    <w:pPr>
      <w:outlineLvl w:val="7"/>
    </w:pPr>
    <w:rPr>
      <w:rFonts w:asciiTheme="majorHAnsi" w:eastAsiaTheme="majorEastAsia" w:hAnsiTheme="majorHAnsi" w:cstheme="majorBidi"/>
      <w:sz w:val="20"/>
      <w:szCs w:val="20"/>
      <w:lang w:val="fr-FR" w:eastAsia="fr-FR" w:bidi="en-US"/>
    </w:rPr>
  </w:style>
  <w:style w:type="paragraph" w:styleId="Heading9">
    <w:name w:val="heading 9"/>
    <w:basedOn w:val="Normal"/>
    <w:next w:val="Normal"/>
    <w:link w:val="Heading9Char"/>
    <w:uiPriority w:val="99"/>
    <w:semiHidden/>
    <w:qFormat/>
    <w:rsid w:val="009B0194"/>
    <w:pPr>
      <w:outlineLvl w:val="8"/>
    </w:pPr>
    <w:rPr>
      <w:rFonts w:asciiTheme="majorHAnsi" w:eastAsiaTheme="majorEastAsia" w:hAnsiTheme="majorHAnsi" w:cstheme="majorBidi"/>
      <w:i/>
      <w:iCs/>
      <w:spacing w:val="5"/>
      <w:sz w:val="20"/>
      <w:szCs w:val="20"/>
      <w:lang w:val="fr-FR" w:eastAsia="fr-FR"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HRHeading1">
    <w:name w:val="ECHR_Heading_1"/>
    <w:aliases w:val="Ju_H_I_Roman"/>
    <w:basedOn w:val="Heading1"/>
    <w:next w:val="ECHRPara"/>
    <w:uiPriority w:val="19"/>
    <w:qFormat/>
    <w:rsid w:val="009B0194"/>
    <w:pPr>
      <w:keepNext/>
      <w:keepLines/>
      <w:tabs>
        <w:tab w:val="left" w:pos="357"/>
      </w:tabs>
      <w:spacing w:before="360" w:after="240"/>
      <w:ind w:left="357" w:hanging="357"/>
      <w:contextualSpacing w:val="0"/>
    </w:pPr>
    <w:rPr>
      <w:b w:val="0"/>
      <w:color w:val="auto"/>
      <w:sz w:val="24"/>
      <w:lang w:val="fr-FR" w:eastAsia="fr-FR"/>
    </w:rPr>
  </w:style>
  <w:style w:type="paragraph" w:customStyle="1" w:styleId="ECHRTitle1">
    <w:name w:val="ECHR_Title_1"/>
    <w:aliases w:val="Ju_H_Head"/>
    <w:basedOn w:val="Normal"/>
    <w:next w:val="ECHRPara"/>
    <w:uiPriority w:val="18"/>
    <w:qFormat/>
    <w:rsid w:val="009B0194"/>
    <w:pPr>
      <w:keepNext/>
      <w:keepLines/>
      <w:spacing w:before="720" w:after="240"/>
      <w:outlineLvl w:val="0"/>
    </w:pPr>
    <w:rPr>
      <w:rFonts w:asciiTheme="majorHAnsi" w:hAnsiTheme="majorHAnsi"/>
      <w:sz w:val="28"/>
      <w:lang w:val="fr-FR" w:eastAsia="fr-FR"/>
    </w:rPr>
  </w:style>
  <w:style w:type="paragraph" w:customStyle="1" w:styleId="ECHRPara">
    <w:name w:val="ECHR_Para"/>
    <w:aliases w:val="Ju_Para"/>
    <w:basedOn w:val="Normal"/>
    <w:link w:val="ECHRParaChar"/>
    <w:uiPriority w:val="12"/>
    <w:qFormat/>
    <w:rsid w:val="009B0194"/>
    <w:pPr>
      <w:ind w:firstLine="284"/>
    </w:pPr>
    <w:rPr>
      <w:lang w:val="fr-FR" w:eastAsia="fr-FR"/>
    </w:rPr>
  </w:style>
  <w:style w:type="character" w:customStyle="1" w:styleId="ECHRParaChar">
    <w:name w:val="ECHR_Para Char"/>
    <w:aliases w:val="Ju_Para Char"/>
    <w:link w:val="ECHRPara"/>
    <w:uiPriority w:val="12"/>
    <w:rsid w:val="00B921A8"/>
    <w:rPr>
      <w:rFonts w:eastAsiaTheme="minorEastAsia"/>
      <w:sz w:val="24"/>
    </w:rPr>
  </w:style>
  <w:style w:type="paragraph" w:styleId="Footer">
    <w:name w:val="footer"/>
    <w:basedOn w:val="Normal"/>
    <w:link w:val="FooterChar"/>
    <w:uiPriority w:val="57"/>
    <w:semiHidden/>
    <w:rsid w:val="009B0194"/>
    <w:pPr>
      <w:tabs>
        <w:tab w:val="center" w:pos="4536"/>
        <w:tab w:val="right" w:pos="9696"/>
      </w:tabs>
      <w:ind w:left="-680" w:right="-680"/>
    </w:pPr>
    <w:rPr>
      <w:rFonts w:eastAsiaTheme="minorHAnsi"/>
    </w:rPr>
  </w:style>
  <w:style w:type="paragraph" w:customStyle="1" w:styleId="ECHRDecisionBody">
    <w:name w:val="ECHR_Decision_Body"/>
    <w:aliases w:val="Ju_Judges"/>
    <w:basedOn w:val="Normal"/>
    <w:link w:val="JuJudgesChar"/>
    <w:uiPriority w:val="11"/>
    <w:qFormat/>
    <w:rsid w:val="009B0194"/>
    <w:pPr>
      <w:tabs>
        <w:tab w:val="left" w:pos="567"/>
        <w:tab w:val="left" w:pos="1134"/>
      </w:tabs>
      <w:jc w:val="left"/>
    </w:pPr>
    <w:rPr>
      <w:lang w:val="fr-FR" w:eastAsia="fr-FR"/>
    </w:rPr>
  </w:style>
  <w:style w:type="character" w:customStyle="1" w:styleId="JuJudgesChar">
    <w:name w:val="Ju_Judges Char"/>
    <w:link w:val="ECHRDecisionBody"/>
    <w:uiPriority w:val="11"/>
    <w:locked/>
    <w:rsid w:val="00D15473"/>
    <w:rPr>
      <w:rFonts w:eastAsiaTheme="minorEastAsia"/>
      <w:sz w:val="24"/>
    </w:rPr>
  </w:style>
  <w:style w:type="paragraph" w:customStyle="1" w:styleId="ECHRHeading2">
    <w:name w:val="ECHR_Heading_2"/>
    <w:aliases w:val="Ju_H_A"/>
    <w:basedOn w:val="Heading2"/>
    <w:next w:val="ECHRPara"/>
    <w:uiPriority w:val="20"/>
    <w:qFormat/>
    <w:rsid w:val="009B0194"/>
    <w:pPr>
      <w:keepNext/>
      <w:keepLines/>
      <w:tabs>
        <w:tab w:val="left" w:pos="584"/>
      </w:tabs>
      <w:spacing w:before="360" w:after="240"/>
      <w:ind w:left="584" w:hanging="352"/>
    </w:pPr>
    <w:rPr>
      <w:color w:val="auto"/>
      <w:sz w:val="24"/>
      <w:lang w:val="fr-FR" w:eastAsia="fr-FR"/>
    </w:rPr>
  </w:style>
  <w:style w:type="paragraph" w:customStyle="1" w:styleId="ECHRParaQuote">
    <w:name w:val="ECHR_Para_Quote"/>
    <w:aliases w:val="Ju_Quot"/>
    <w:basedOn w:val="Normal"/>
    <w:uiPriority w:val="14"/>
    <w:qFormat/>
    <w:rsid w:val="009B0194"/>
    <w:pPr>
      <w:spacing w:before="120" w:after="120"/>
      <w:ind w:left="425" w:firstLine="142"/>
    </w:pPr>
    <w:rPr>
      <w:sz w:val="20"/>
      <w:lang w:val="fr-FR" w:eastAsia="fr-FR"/>
    </w:rPr>
  </w:style>
  <w:style w:type="paragraph" w:customStyle="1" w:styleId="JuSigned">
    <w:name w:val="Ju_Signed"/>
    <w:basedOn w:val="Normal"/>
    <w:next w:val="JuParaLast"/>
    <w:link w:val="JuSignedChar"/>
    <w:uiPriority w:val="32"/>
    <w:qFormat/>
    <w:rsid w:val="009B0194"/>
    <w:pPr>
      <w:tabs>
        <w:tab w:val="center" w:pos="851"/>
        <w:tab w:val="center" w:pos="6407"/>
      </w:tabs>
      <w:spacing w:before="720"/>
      <w:jc w:val="left"/>
    </w:pPr>
    <w:rPr>
      <w:lang w:val="fr-FR" w:eastAsia="fr-FR"/>
    </w:rPr>
  </w:style>
  <w:style w:type="paragraph" w:customStyle="1" w:styleId="JuParaLast">
    <w:name w:val="Ju_Para_Last"/>
    <w:basedOn w:val="Normal"/>
    <w:next w:val="ECHRPara"/>
    <w:uiPriority w:val="30"/>
    <w:qFormat/>
    <w:rsid w:val="009B0194"/>
    <w:pPr>
      <w:keepNext/>
      <w:keepLines/>
      <w:spacing w:before="240"/>
      <w:ind w:firstLine="284"/>
    </w:pPr>
    <w:rPr>
      <w:lang w:val="fr-FR" w:eastAsia="fr-FR"/>
    </w:rPr>
  </w:style>
  <w:style w:type="character" w:customStyle="1" w:styleId="JuSignedChar">
    <w:name w:val="Ju_Signed Char"/>
    <w:link w:val="JuSigned"/>
    <w:uiPriority w:val="32"/>
    <w:rsid w:val="000726F6"/>
    <w:rPr>
      <w:rFonts w:eastAsiaTheme="minorEastAsia"/>
      <w:sz w:val="24"/>
    </w:rPr>
  </w:style>
  <w:style w:type="paragraph" w:customStyle="1" w:styleId="JuCase">
    <w:name w:val="Ju_Case"/>
    <w:basedOn w:val="Normal"/>
    <w:next w:val="ECHRPara"/>
    <w:link w:val="JuCaseChar"/>
    <w:uiPriority w:val="10"/>
    <w:rsid w:val="009B0194"/>
    <w:pPr>
      <w:ind w:firstLine="284"/>
    </w:pPr>
    <w:rPr>
      <w:b/>
    </w:rPr>
  </w:style>
  <w:style w:type="character" w:customStyle="1" w:styleId="JuCaseChar">
    <w:name w:val="Ju_Case Char"/>
    <w:link w:val="JuCase"/>
    <w:uiPriority w:val="10"/>
    <w:rsid w:val="00B921A8"/>
    <w:rPr>
      <w:rFonts w:eastAsiaTheme="minorEastAsia"/>
      <w:b/>
      <w:sz w:val="24"/>
      <w:lang w:val="en-US" w:eastAsia="en-US"/>
    </w:rPr>
  </w:style>
  <w:style w:type="paragraph" w:customStyle="1" w:styleId="JuList">
    <w:name w:val="Ju_List"/>
    <w:basedOn w:val="Normal"/>
    <w:link w:val="JuListChar"/>
    <w:uiPriority w:val="28"/>
    <w:qFormat/>
    <w:rsid w:val="009B0194"/>
    <w:pPr>
      <w:ind w:left="340" w:hanging="340"/>
    </w:pPr>
    <w:rPr>
      <w:lang w:val="fr-FR" w:eastAsia="fr-FR"/>
    </w:rPr>
  </w:style>
  <w:style w:type="character" w:customStyle="1" w:styleId="JuListChar">
    <w:name w:val="Ju_List Char"/>
    <w:link w:val="JuList"/>
    <w:uiPriority w:val="28"/>
    <w:rsid w:val="00930CD7"/>
    <w:rPr>
      <w:rFonts w:eastAsiaTheme="minorEastAsia"/>
      <w:sz w:val="24"/>
    </w:rPr>
  </w:style>
  <w:style w:type="paragraph" w:customStyle="1" w:styleId="JuAppQuestion">
    <w:name w:val="Ju_App_Question"/>
    <w:basedOn w:val="Normal"/>
    <w:uiPriority w:val="5"/>
    <w:rsid w:val="009B0194"/>
    <w:pPr>
      <w:numPr>
        <w:numId w:val="14"/>
      </w:numPr>
      <w:jc w:val="left"/>
    </w:pPr>
    <w:rPr>
      <w:b/>
    </w:rPr>
  </w:style>
  <w:style w:type="paragraph" w:styleId="FootnoteText">
    <w:name w:val="footnote text"/>
    <w:basedOn w:val="Normal"/>
    <w:link w:val="FootnoteTextChar"/>
    <w:uiPriority w:val="99"/>
    <w:semiHidden/>
    <w:rsid w:val="009B0194"/>
    <w:rPr>
      <w:sz w:val="20"/>
      <w:szCs w:val="20"/>
    </w:rPr>
  </w:style>
  <w:style w:type="character" w:styleId="FootnoteReference">
    <w:name w:val="footnote reference"/>
    <w:basedOn w:val="DefaultParagraphFont"/>
    <w:uiPriority w:val="99"/>
    <w:semiHidden/>
    <w:rsid w:val="009B0194"/>
    <w:rPr>
      <w:vertAlign w:val="superscript"/>
    </w:rPr>
  </w:style>
  <w:style w:type="paragraph" w:styleId="Header">
    <w:name w:val="header"/>
    <w:basedOn w:val="Normal"/>
    <w:link w:val="HeaderChar"/>
    <w:uiPriority w:val="57"/>
    <w:semiHidden/>
    <w:rsid w:val="009B0194"/>
    <w:pPr>
      <w:tabs>
        <w:tab w:val="center" w:pos="4536"/>
        <w:tab w:val="right" w:pos="9072"/>
      </w:tabs>
    </w:pPr>
    <w:rPr>
      <w:rFonts w:eastAsiaTheme="minorHAnsi"/>
    </w:rPr>
  </w:style>
  <w:style w:type="character" w:styleId="PageNumber">
    <w:name w:val="page number"/>
    <w:uiPriority w:val="99"/>
    <w:semiHidden/>
    <w:rsid w:val="00D1288A"/>
    <w:rPr>
      <w:sz w:val="18"/>
    </w:rPr>
  </w:style>
  <w:style w:type="paragraph" w:customStyle="1" w:styleId="JuLista">
    <w:name w:val="Ju_List_a"/>
    <w:basedOn w:val="JuList"/>
    <w:uiPriority w:val="28"/>
    <w:qFormat/>
    <w:rsid w:val="009B0194"/>
    <w:pPr>
      <w:ind w:left="346" w:firstLine="0"/>
    </w:pPr>
  </w:style>
  <w:style w:type="paragraph" w:customStyle="1" w:styleId="JuListi">
    <w:name w:val="Ju_List_i"/>
    <w:basedOn w:val="Normal"/>
    <w:next w:val="JuLista"/>
    <w:uiPriority w:val="28"/>
    <w:qFormat/>
    <w:rsid w:val="009B0194"/>
    <w:pPr>
      <w:ind w:left="794"/>
    </w:pPr>
    <w:rPr>
      <w:lang w:val="fr-FR" w:eastAsia="fr-FR"/>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alloonText">
    <w:name w:val="Balloon Text"/>
    <w:basedOn w:val="Normal"/>
    <w:link w:val="BalloonTextChar"/>
    <w:uiPriority w:val="99"/>
    <w:semiHidden/>
    <w:rsid w:val="009B0194"/>
    <w:rPr>
      <w:rFonts w:ascii="Tahoma" w:hAnsi="Tahoma" w:cs="Tahoma"/>
      <w:sz w:val="16"/>
      <w:szCs w:val="16"/>
    </w:rPr>
  </w:style>
  <w:style w:type="paragraph" w:styleId="CommentSubject">
    <w:name w:val="annotation subject"/>
    <w:basedOn w:val="CommentText"/>
    <w:next w:val="CommentText"/>
    <w:uiPriority w:val="99"/>
    <w:semiHidden/>
    <w:rsid w:val="00D353F4"/>
    <w:rPr>
      <w:b/>
      <w:bCs/>
    </w:rPr>
  </w:style>
  <w:style w:type="character" w:styleId="EndnoteReference">
    <w:name w:val="endnote reference"/>
    <w:uiPriority w:val="99"/>
    <w:semiHidden/>
    <w:rsid w:val="00D1288A"/>
    <w:rPr>
      <w:vertAlign w:val="superscript"/>
    </w:rPr>
  </w:style>
  <w:style w:type="paragraph" w:styleId="EndnoteText">
    <w:name w:val="endnote text"/>
    <w:basedOn w:val="Normal"/>
    <w:uiPriority w:val="99"/>
    <w:semiHidden/>
    <w:rsid w:val="00D1288A"/>
    <w:rPr>
      <w:sz w:val="20"/>
    </w:rPr>
  </w:style>
  <w:style w:type="character" w:styleId="FollowedHyperlink">
    <w:name w:val="FollowedHyperlink"/>
    <w:uiPriority w:val="99"/>
    <w:semiHidden/>
    <w:rsid w:val="00D1288A"/>
    <w:rPr>
      <w:color w:val="800080"/>
      <w:u w:val="single"/>
    </w:rPr>
  </w:style>
  <w:style w:type="character" w:styleId="Hyperlink">
    <w:name w:val="Hyperlink"/>
    <w:basedOn w:val="DefaultParagraphFont"/>
    <w:uiPriority w:val="99"/>
    <w:semiHidden/>
    <w:rsid w:val="009B0194"/>
    <w:rPr>
      <w:color w:val="0072BC" w:themeColor="hyperlink"/>
      <w:u w:val="single"/>
    </w:rPr>
  </w:style>
  <w:style w:type="character" w:styleId="Strong">
    <w:name w:val="Strong"/>
    <w:uiPriority w:val="99"/>
    <w:semiHidden/>
    <w:qFormat/>
    <w:rsid w:val="009B0194"/>
    <w:rPr>
      <w:b/>
      <w:bCs/>
    </w:rPr>
  </w:style>
  <w:style w:type="paragraph" w:styleId="DocumentMap">
    <w:name w:val="Document Map"/>
    <w:basedOn w:val="Normal"/>
    <w:uiPriority w:val="99"/>
    <w:semiHidden/>
    <w:rsid w:val="008824B9"/>
    <w:pPr>
      <w:shd w:val="clear" w:color="auto" w:fill="000080"/>
    </w:pPr>
    <w:rPr>
      <w:rFonts w:ascii="Tahoma" w:hAnsi="Tahoma" w:cs="Tahoma"/>
      <w:sz w:val="20"/>
    </w:rPr>
  </w:style>
  <w:style w:type="paragraph" w:customStyle="1" w:styleId="JuParaSub">
    <w:name w:val="Ju_Para_Sub"/>
    <w:basedOn w:val="ECHRPara"/>
    <w:uiPriority w:val="13"/>
    <w:qFormat/>
    <w:rsid w:val="009B0194"/>
    <w:pPr>
      <w:ind w:left="284"/>
    </w:pPr>
  </w:style>
  <w:style w:type="paragraph" w:styleId="ListBullet">
    <w:name w:val="List Bullet"/>
    <w:basedOn w:val="Normal"/>
    <w:uiPriority w:val="99"/>
    <w:semiHidden/>
    <w:rsid w:val="008824B9"/>
    <w:pPr>
      <w:numPr>
        <w:numId w:val="1"/>
      </w:numPr>
    </w:pPr>
  </w:style>
  <w:style w:type="paragraph" w:customStyle="1" w:styleId="OpiParaSub">
    <w:name w:val="Opi_Para_Sub"/>
    <w:basedOn w:val="JuParaSub"/>
    <w:uiPriority w:val="47"/>
    <w:qFormat/>
    <w:rsid w:val="009B0194"/>
  </w:style>
  <w:style w:type="character" w:customStyle="1" w:styleId="Heading1Char">
    <w:name w:val="Heading 1 Char"/>
    <w:basedOn w:val="DefaultParagraphFont"/>
    <w:link w:val="Heading1"/>
    <w:uiPriority w:val="99"/>
    <w:semiHidden/>
    <w:rsid w:val="009B0194"/>
    <w:rPr>
      <w:rFonts w:asciiTheme="majorHAnsi" w:eastAsiaTheme="majorEastAsia" w:hAnsiTheme="majorHAnsi" w:cstheme="majorBidi"/>
      <w:b/>
      <w:bCs/>
      <w:color w:val="333333"/>
      <w:sz w:val="28"/>
      <w:szCs w:val="28"/>
      <w:lang w:val="en-US" w:eastAsia="en-US"/>
    </w:rPr>
  </w:style>
  <w:style w:type="character" w:customStyle="1" w:styleId="Heading2Char">
    <w:name w:val="Heading 2 Char"/>
    <w:basedOn w:val="DefaultParagraphFont"/>
    <w:link w:val="Heading2"/>
    <w:uiPriority w:val="99"/>
    <w:semiHidden/>
    <w:rsid w:val="009B0194"/>
    <w:rPr>
      <w:rFonts w:asciiTheme="majorHAnsi" w:eastAsiaTheme="majorEastAsia" w:hAnsiTheme="majorHAnsi" w:cstheme="majorBidi"/>
      <w:b/>
      <w:bCs/>
      <w:color w:val="4D4D4D"/>
      <w:sz w:val="26"/>
      <w:szCs w:val="26"/>
      <w:lang w:val="en-US" w:eastAsia="en-US"/>
    </w:rPr>
  </w:style>
  <w:style w:type="character" w:customStyle="1" w:styleId="Heading3Char">
    <w:name w:val="Heading 3 Char"/>
    <w:basedOn w:val="DefaultParagraphFont"/>
    <w:link w:val="Heading3"/>
    <w:uiPriority w:val="99"/>
    <w:semiHidden/>
    <w:rsid w:val="009B0194"/>
    <w:rPr>
      <w:rFonts w:asciiTheme="majorHAnsi" w:eastAsiaTheme="majorEastAsia" w:hAnsiTheme="majorHAnsi" w:cstheme="majorBidi"/>
      <w:b/>
      <w:bCs/>
      <w:color w:val="5F5F5F"/>
      <w:sz w:val="24"/>
      <w:lang w:val="en-US" w:eastAsia="en-US"/>
    </w:rPr>
  </w:style>
  <w:style w:type="character" w:customStyle="1" w:styleId="Heading4Char">
    <w:name w:val="Heading 4 Char"/>
    <w:basedOn w:val="DefaultParagraphFont"/>
    <w:link w:val="Heading4"/>
    <w:uiPriority w:val="99"/>
    <w:semiHidden/>
    <w:rsid w:val="009B0194"/>
    <w:rPr>
      <w:rFonts w:asciiTheme="majorHAnsi" w:eastAsiaTheme="majorEastAsia" w:hAnsiTheme="majorHAnsi" w:cstheme="majorBidi"/>
      <w:b/>
      <w:bCs/>
      <w:i/>
      <w:iCs/>
      <w:color w:val="777777"/>
      <w:sz w:val="24"/>
      <w:lang w:val="en-US" w:eastAsia="en-US"/>
    </w:rPr>
  </w:style>
  <w:style w:type="character" w:customStyle="1" w:styleId="Heading6Char">
    <w:name w:val="Heading 6 Char"/>
    <w:basedOn w:val="DefaultParagraphFont"/>
    <w:link w:val="Heading6"/>
    <w:uiPriority w:val="99"/>
    <w:semiHidden/>
    <w:rsid w:val="009B0194"/>
    <w:rPr>
      <w:rFonts w:asciiTheme="majorHAnsi" w:eastAsiaTheme="majorEastAsia" w:hAnsiTheme="majorHAnsi" w:cstheme="majorBidi"/>
      <w:b/>
      <w:bCs/>
      <w:i/>
      <w:iCs/>
      <w:color w:val="7F7F7F" w:themeColor="text1" w:themeTint="80"/>
      <w:sz w:val="24"/>
      <w:lang w:val="en-US" w:eastAsia="en-US" w:bidi="en-US"/>
    </w:rPr>
  </w:style>
  <w:style w:type="character" w:customStyle="1" w:styleId="BalloonTextChar">
    <w:name w:val="Balloon Text Char"/>
    <w:basedOn w:val="DefaultParagraphFont"/>
    <w:link w:val="BalloonText"/>
    <w:uiPriority w:val="99"/>
    <w:semiHidden/>
    <w:rsid w:val="009B0194"/>
    <w:rPr>
      <w:rFonts w:ascii="Tahoma" w:eastAsiaTheme="minorEastAsia" w:hAnsi="Tahoma" w:cs="Tahoma"/>
      <w:sz w:val="16"/>
      <w:szCs w:val="16"/>
      <w:lang w:val="en-US" w:eastAsia="en-US"/>
    </w:rPr>
  </w:style>
  <w:style w:type="paragraph" w:customStyle="1" w:styleId="ECHRFooter">
    <w:name w:val="ECHR_Footer"/>
    <w:aliases w:val="Footer_ECHR"/>
    <w:basedOn w:val="Footer"/>
    <w:uiPriority w:val="57"/>
    <w:semiHidden/>
    <w:rsid w:val="009B0194"/>
    <w:pPr>
      <w:jc w:val="left"/>
    </w:pPr>
    <w:rPr>
      <w:sz w:val="8"/>
    </w:rPr>
  </w:style>
  <w:style w:type="paragraph" w:customStyle="1" w:styleId="ECHRFooterLine">
    <w:name w:val="ECHR_Footer_Line"/>
    <w:aliases w:val="Footer_Line"/>
    <w:basedOn w:val="Normal"/>
    <w:next w:val="ECHRFooter"/>
    <w:uiPriority w:val="57"/>
    <w:semiHidden/>
    <w:rsid w:val="009B0194"/>
    <w:pPr>
      <w:pBdr>
        <w:top w:val="single" w:sz="6" w:space="1" w:color="5F5F5F"/>
      </w:pBdr>
      <w:tabs>
        <w:tab w:val="center" w:pos="4536"/>
        <w:tab w:val="right" w:pos="9696"/>
      </w:tabs>
      <w:ind w:left="-680" w:right="-680"/>
      <w:jc w:val="left"/>
    </w:pPr>
    <w:rPr>
      <w:color w:val="5F5F5F"/>
    </w:rPr>
  </w:style>
  <w:style w:type="character" w:customStyle="1" w:styleId="HeaderChar">
    <w:name w:val="Header Char"/>
    <w:basedOn w:val="DefaultParagraphFont"/>
    <w:link w:val="Header"/>
    <w:uiPriority w:val="57"/>
    <w:semiHidden/>
    <w:rsid w:val="009B0194"/>
    <w:rPr>
      <w:sz w:val="24"/>
      <w:lang w:val="en-US" w:eastAsia="en-US"/>
    </w:rPr>
  </w:style>
  <w:style w:type="paragraph" w:customStyle="1" w:styleId="ECHRHeader">
    <w:name w:val="ECHR_Header"/>
    <w:aliases w:val="Ju_Header"/>
    <w:basedOn w:val="Header"/>
    <w:uiPriority w:val="4"/>
    <w:qFormat/>
    <w:rsid w:val="009B0194"/>
    <w:pPr>
      <w:tabs>
        <w:tab w:val="clear" w:pos="4536"/>
        <w:tab w:val="clear" w:pos="9072"/>
        <w:tab w:val="center" w:pos="3686"/>
        <w:tab w:val="right" w:pos="7371"/>
      </w:tabs>
      <w:jc w:val="left"/>
    </w:pPr>
    <w:rPr>
      <w:sz w:val="18"/>
      <w:lang w:val="fr-FR" w:eastAsia="fr-FR"/>
    </w:rPr>
  </w:style>
  <w:style w:type="character" w:customStyle="1" w:styleId="FooterChar">
    <w:name w:val="Footer Char"/>
    <w:basedOn w:val="DefaultParagraphFont"/>
    <w:link w:val="Footer"/>
    <w:uiPriority w:val="57"/>
    <w:semiHidden/>
    <w:rsid w:val="009B0194"/>
    <w:rPr>
      <w:sz w:val="24"/>
      <w:lang w:val="en-US" w:eastAsia="en-US"/>
    </w:rPr>
  </w:style>
  <w:style w:type="character" w:customStyle="1" w:styleId="FootnoteTextChar">
    <w:name w:val="Footnote Text Char"/>
    <w:basedOn w:val="DefaultParagraphFont"/>
    <w:link w:val="FootnoteText"/>
    <w:uiPriority w:val="99"/>
    <w:semiHidden/>
    <w:rsid w:val="009B0194"/>
    <w:rPr>
      <w:rFonts w:eastAsiaTheme="minorEastAsia"/>
      <w:sz w:val="20"/>
      <w:szCs w:val="20"/>
      <w:lang w:val="en-US" w:eastAsia="en-US"/>
    </w:rPr>
  </w:style>
  <w:style w:type="paragraph" w:customStyle="1" w:styleId="OpiQuot">
    <w:name w:val="Opi_Quot"/>
    <w:basedOn w:val="ECHRParaQuote"/>
    <w:uiPriority w:val="48"/>
    <w:qFormat/>
    <w:rsid w:val="009B0194"/>
  </w:style>
  <w:style w:type="paragraph" w:customStyle="1" w:styleId="OpiPara">
    <w:name w:val="Opi_Para"/>
    <w:basedOn w:val="ECHRPara"/>
    <w:uiPriority w:val="46"/>
    <w:qFormat/>
    <w:rsid w:val="009B0194"/>
  </w:style>
  <w:style w:type="paragraph" w:customStyle="1" w:styleId="OpiQuotSub">
    <w:name w:val="Opi_Quot_Sub"/>
    <w:basedOn w:val="JuQuotSub"/>
    <w:uiPriority w:val="49"/>
    <w:qFormat/>
    <w:rsid w:val="009B0194"/>
  </w:style>
  <w:style w:type="paragraph" w:customStyle="1" w:styleId="JuQuotSub">
    <w:name w:val="Ju_Quot_Sub"/>
    <w:basedOn w:val="ECHRParaQuote"/>
    <w:uiPriority w:val="15"/>
    <w:qFormat/>
    <w:rsid w:val="009B0194"/>
    <w:pPr>
      <w:ind w:left="567"/>
    </w:pPr>
  </w:style>
  <w:style w:type="paragraph" w:customStyle="1" w:styleId="OpiHA">
    <w:name w:val="Opi_H_A"/>
    <w:basedOn w:val="ECHRHeading1"/>
    <w:next w:val="OpiPara"/>
    <w:uiPriority w:val="41"/>
    <w:qFormat/>
    <w:rsid w:val="009B0194"/>
    <w:pPr>
      <w:tabs>
        <w:tab w:val="clear" w:pos="357"/>
      </w:tabs>
      <w:outlineLvl w:val="1"/>
    </w:pPr>
    <w:rPr>
      <w:b/>
    </w:rPr>
  </w:style>
  <w:style w:type="character" w:customStyle="1" w:styleId="JUNAMES">
    <w:name w:val="JU_NAMES"/>
    <w:uiPriority w:val="17"/>
    <w:qFormat/>
    <w:rsid w:val="009B0194"/>
    <w:rPr>
      <w:caps w:val="0"/>
      <w:smallCaps/>
    </w:rPr>
  </w:style>
  <w:style w:type="paragraph" w:customStyle="1" w:styleId="ECHRTitleCentre3">
    <w:name w:val="ECHR_Title_Centre_3"/>
    <w:aliases w:val="Ju_H_Article"/>
    <w:basedOn w:val="Normal"/>
    <w:next w:val="ECHRParaQuote"/>
    <w:uiPriority w:val="27"/>
    <w:qFormat/>
    <w:rsid w:val="009B0194"/>
    <w:pPr>
      <w:keepNext/>
      <w:keepLines/>
      <w:spacing w:before="240" w:after="120"/>
      <w:jc w:val="center"/>
      <w:outlineLvl w:val="3"/>
    </w:pPr>
    <w:rPr>
      <w:rFonts w:asciiTheme="majorHAnsi" w:hAnsiTheme="majorHAnsi"/>
      <w:b/>
      <w:sz w:val="20"/>
      <w:lang w:val="fr-FR" w:eastAsia="fr-FR" w:bidi="en-US"/>
    </w:rPr>
  </w:style>
  <w:style w:type="paragraph" w:customStyle="1" w:styleId="ECHRTitleCentre2">
    <w:name w:val="ECHR_Title_Centre_2"/>
    <w:aliases w:val="Dec_H_Case"/>
    <w:basedOn w:val="Normal"/>
    <w:next w:val="ECHRPara"/>
    <w:uiPriority w:val="8"/>
    <w:rsid w:val="009B0194"/>
    <w:pPr>
      <w:spacing w:after="240"/>
      <w:jc w:val="center"/>
      <w:outlineLvl w:val="0"/>
    </w:pPr>
    <w:rPr>
      <w:rFonts w:asciiTheme="majorHAnsi" w:hAnsiTheme="majorHAnsi"/>
    </w:rPr>
  </w:style>
  <w:style w:type="paragraph" w:customStyle="1" w:styleId="JuTitle">
    <w:name w:val="Ju_Title"/>
    <w:basedOn w:val="Normal"/>
    <w:next w:val="ECHRPara"/>
    <w:uiPriority w:val="3"/>
    <w:qFormat/>
    <w:rsid w:val="009B0194"/>
    <w:pPr>
      <w:spacing w:before="720" w:after="240"/>
      <w:jc w:val="center"/>
      <w:outlineLvl w:val="0"/>
    </w:pPr>
    <w:rPr>
      <w:rFonts w:asciiTheme="majorHAnsi" w:hAnsiTheme="majorHAnsi"/>
      <w:b/>
      <w:caps/>
    </w:rPr>
  </w:style>
  <w:style w:type="character" w:customStyle="1" w:styleId="Heading5Char">
    <w:name w:val="Heading 5 Char"/>
    <w:basedOn w:val="DefaultParagraphFont"/>
    <w:link w:val="Heading5"/>
    <w:uiPriority w:val="99"/>
    <w:semiHidden/>
    <w:rsid w:val="009B0194"/>
    <w:rPr>
      <w:rFonts w:asciiTheme="majorHAnsi" w:eastAsiaTheme="majorEastAsia" w:hAnsiTheme="majorHAnsi" w:cstheme="majorBidi"/>
      <w:b/>
      <w:bCs/>
      <w:color w:val="808080"/>
    </w:rPr>
  </w:style>
  <w:style w:type="character" w:customStyle="1" w:styleId="Heading7Char">
    <w:name w:val="Heading 7 Char"/>
    <w:basedOn w:val="DefaultParagraphFont"/>
    <w:link w:val="Heading7"/>
    <w:uiPriority w:val="99"/>
    <w:semiHidden/>
    <w:rsid w:val="009B0194"/>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9"/>
    <w:semiHidden/>
    <w:rsid w:val="009B0194"/>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9"/>
    <w:semiHidden/>
    <w:rsid w:val="009B0194"/>
    <w:rPr>
      <w:rFonts w:asciiTheme="majorHAnsi" w:eastAsiaTheme="majorEastAsia" w:hAnsiTheme="majorHAnsi" w:cstheme="majorBidi"/>
      <w:i/>
      <w:iCs/>
      <w:spacing w:val="5"/>
      <w:sz w:val="20"/>
      <w:szCs w:val="20"/>
      <w:lang w:bidi="en-US"/>
    </w:rPr>
  </w:style>
  <w:style w:type="paragraph" w:styleId="Title">
    <w:name w:val="Title"/>
    <w:basedOn w:val="Normal"/>
    <w:next w:val="Normal"/>
    <w:link w:val="TitleChar"/>
    <w:uiPriority w:val="99"/>
    <w:semiHidden/>
    <w:qFormat/>
    <w:rsid w:val="009B0194"/>
    <w:pPr>
      <w:pBdr>
        <w:bottom w:val="single" w:sz="4" w:space="1" w:color="auto"/>
      </w:pBdr>
      <w:contextualSpacing/>
    </w:pPr>
    <w:rPr>
      <w:rFonts w:asciiTheme="majorHAnsi" w:eastAsiaTheme="majorEastAsia" w:hAnsiTheme="majorHAnsi" w:cstheme="majorBidi"/>
      <w:spacing w:val="5"/>
      <w:sz w:val="52"/>
      <w:szCs w:val="52"/>
      <w:lang w:val="fr-FR" w:eastAsia="fr-FR" w:bidi="en-US"/>
    </w:rPr>
  </w:style>
  <w:style w:type="character" w:customStyle="1" w:styleId="TitleChar">
    <w:name w:val="Title Char"/>
    <w:basedOn w:val="DefaultParagraphFont"/>
    <w:link w:val="Title"/>
    <w:uiPriority w:val="99"/>
    <w:semiHidden/>
    <w:rsid w:val="009B0194"/>
    <w:rPr>
      <w:rFonts w:asciiTheme="majorHAnsi" w:eastAsiaTheme="majorEastAsia" w:hAnsiTheme="majorHAnsi" w:cstheme="majorBidi"/>
      <w:spacing w:val="5"/>
      <w:sz w:val="52"/>
      <w:szCs w:val="52"/>
      <w:lang w:bidi="en-US"/>
    </w:rPr>
  </w:style>
  <w:style w:type="paragraph" w:styleId="Subtitle">
    <w:name w:val="Subtitle"/>
    <w:basedOn w:val="Normal"/>
    <w:next w:val="Normal"/>
    <w:link w:val="SubtitleChar"/>
    <w:uiPriority w:val="99"/>
    <w:semiHidden/>
    <w:qFormat/>
    <w:rsid w:val="009B0194"/>
    <w:pPr>
      <w:spacing w:after="600"/>
    </w:pPr>
    <w:rPr>
      <w:rFonts w:asciiTheme="majorHAnsi" w:eastAsiaTheme="majorEastAsia" w:hAnsiTheme="majorHAnsi" w:cstheme="majorBidi"/>
      <w:i/>
      <w:iCs/>
      <w:spacing w:val="13"/>
      <w:szCs w:val="24"/>
      <w:lang w:val="fr-FR" w:eastAsia="fr-FR" w:bidi="en-US"/>
    </w:rPr>
  </w:style>
  <w:style w:type="character" w:customStyle="1" w:styleId="SubtitleChar">
    <w:name w:val="Subtitle Char"/>
    <w:basedOn w:val="DefaultParagraphFont"/>
    <w:link w:val="Subtitle"/>
    <w:uiPriority w:val="99"/>
    <w:semiHidden/>
    <w:rsid w:val="009B0194"/>
    <w:rPr>
      <w:rFonts w:asciiTheme="majorHAnsi" w:eastAsiaTheme="majorEastAsia" w:hAnsiTheme="majorHAnsi" w:cstheme="majorBidi"/>
      <w:i/>
      <w:iCs/>
      <w:spacing w:val="13"/>
      <w:sz w:val="24"/>
      <w:szCs w:val="24"/>
      <w:lang w:bidi="en-US"/>
    </w:rPr>
  </w:style>
  <w:style w:type="character" w:styleId="Emphasis">
    <w:name w:val="Emphasis"/>
    <w:uiPriority w:val="99"/>
    <w:semiHidden/>
    <w:qFormat/>
    <w:rsid w:val="009B0194"/>
    <w:rPr>
      <w:b/>
      <w:bCs/>
      <w:i/>
      <w:iCs/>
      <w:spacing w:val="10"/>
      <w:bdr w:val="none" w:sz="0" w:space="0" w:color="auto"/>
      <w:shd w:val="clear" w:color="auto" w:fill="auto"/>
    </w:rPr>
  </w:style>
  <w:style w:type="paragraph" w:styleId="NoSpacing">
    <w:name w:val="No Spacing"/>
    <w:basedOn w:val="Normal"/>
    <w:link w:val="NoSpacingChar"/>
    <w:semiHidden/>
    <w:qFormat/>
    <w:rsid w:val="009B0194"/>
    <w:rPr>
      <w:sz w:val="22"/>
      <w:lang w:val="fr-FR" w:eastAsia="fr-FR"/>
    </w:rPr>
  </w:style>
  <w:style w:type="character" w:customStyle="1" w:styleId="NoSpacingChar">
    <w:name w:val="No Spacing Char"/>
    <w:basedOn w:val="DefaultParagraphFont"/>
    <w:link w:val="NoSpacing"/>
    <w:semiHidden/>
    <w:rsid w:val="009B0194"/>
    <w:rPr>
      <w:rFonts w:eastAsiaTheme="minorEastAsia"/>
    </w:rPr>
  </w:style>
  <w:style w:type="paragraph" w:styleId="ListParagraph">
    <w:name w:val="List Paragraph"/>
    <w:basedOn w:val="Normal"/>
    <w:uiPriority w:val="99"/>
    <w:semiHidden/>
    <w:qFormat/>
    <w:rsid w:val="009B0194"/>
    <w:pPr>
      <w:ind w:left="720"/>
      <w:contextualSpacing/>
    </w:pPr>
    <w:rPr>
      <w:lang w:val="fr-FR" w:eastAsia="fr-FR"/>
    </w:rPr>
  </w:style>
  <w:style w:type="paragraph" w:styleId="Quote">
    <w:name w:val="Quote"/>
    <w:basedOn w:val="Normal"/>
    <w:next w:val="Normal"/>
    <w:link w:val="QuoteChar"/>
    <w:uiPriority w:val="99"/>
    <w:semiHidden/>
    <w:qFormat/>
    <w:rsid w:val="009B0194"/>
    <w:pPr>
      <w:spacing w:before="200"/>
      <w:ind w:left="360" w:right="360"/>
    </w:pPr>
    <w:rPr>
      <w:i/>
      <w:iCs/>
      <w:sz w:val="22"/>
      <w:lang w:val="fr-FR" w:eastAsia="fr-FR" w:bidi="en-US"/>
    </w:rPr>
  </w:style>
  <w:style w:type="character" w:customStyle="1" w:styleId="QuoteChar">
    <w:name w:val="Quote Char"/>
    <w:basedOn w:val="DefaultParagraphFont"/>
    <w:link w:val="Quote"/>
    <w:uiPriority w:val="99"/>
    <w:semiHidden/>
    <w:rsid w:val="009B0194"/>
    <w:rPr>
      <w:rFonts w:eastAsiaTheme="minorEastAsia"/>
      <w:i/>
      <w:iCs/>
      <w:lang w:bidi="en-US"/>
    </w:rPr>
  </w:style>
  <w:style w:type="paragraph" w:styleId="IntenseQuote">
    <w:name w:val="Intense Quote"/>
    <w:basedOn w:val="Normal"/>
    <w:next w:val="Normal"/>
    <w:link w:val="IntenseQuoteChar"/>
    <w:uiPriority w:val="99"/>
    <w:semiHidden/>
    <w:qFormat/>
    <w:rsid w:val="009B0194"/>
    <w:pPr>
      <w:pBdr>
        <w:bottom w:val="single" w:sz="4" w:space="1" w:color="auto"/>
      </w:pBdr>
      <w:spacing w:before="200" w:after="280"/>
      <w:ind w:left="1008" w:right="1152"/>
    </w:pPr>
    <w:rPr>
      <w:b/>
      <w:bCs/>
      <w:i/>
      <w:iCs/>
      <w:sz w:val="22"/>
      <w:lang w:val="fr-FR" w:eastAsia="fr-FR" w:bidi="en-US"/>
    </w:rPr>
  </w:style>
  <w:style w:type="character" w:customStyle="1" w:styleId="IntenseQuoteChar">
    <w:name w:val="Intense Quote Char"/>
    <w:basedOn w:val="DefaultParagraphFont"/>
    <w:link w:val="IntenseQuote"/>
    <w:uiPriority w:val="99"/>
    <w:semiHidden/>
    <w:rsid w:val="009B0194"/>
    <w:rPr>
      <w:rFonts w:eastAsiaTheme="minorEastAsia"/>
      <w:b/>
      <w:bCs/>
      <w:i/>
      <w:iCs/>
      <w:lang w:bidi="en-US"/>
    </w:rPr>
  </w:style>
  <w:style w:type="character" w:styleId="SubtleEmphasis">
    <w:name w:val="Subtle Emphasis"/>
    <w:uiPriority w:val="99"/>
    <w:semiHidden/>
    <w:qFormat/>
    <w:rsid w:val="009B0194"/>
    <w:rPr>
      <w:i/>
      <w:iCs/>
    </w:rPr>
  </w:style>
  <w:style w:type="character" w:styleId="IntenseEmphasis">
    <w:name w:val="Intense Emphasis"/>
    <w:uiPriority w:val="99"/>
    <w:semiHidden/>
    <w:qFormat/>
    <w:rsid w:val="009B0194"/>
    <w:rPr>
      <w:b/>
      <w:bCs/>
    </w:rPr>
  </w:style>
  <w:style w:type="character" w:styleId="SubtleReference">
    <w:name w:val="Subtle Reference"/>
    <w:uiPriority w:val="99"/>
    <w:semiHidden/>
    <w:qFormat/>
    <w:rsid w:val="009B0194"/>
    <w:rPr>
      <w:smallCaps/>
    </w:rPr>
  </w:style>
  <w:style w:type="character" w:styleId="IntenseReference">
    <w:name w:val="Intense Reference"/>
    <w:uiPriority w:val="99"/>
    <w:semiHidden/>
    <w:qFormat/>
    <w:rsid w:val="009B0194"/>
    <w:rPr>
      <w:smallCaps/>
      <w:spacing w:val="5"/>
      <w:u w:val="single"/>
    </w:rPr>
  </w:style>
  <w:style w:type="character" w:styleId="BookTitle">
    <w:name w:val="Book Title"/>
    <w:uiPriority w:val="99"/>
    <w:semiHidden/>
    <w:qFormat/>
    <w:rsid w:val="009B0194"/>
    <w:rPr>
      <w:i/>
      <w:iCs/>
      <w:smallCaps/>
      <w:spacing w:val="5"/>
    </w:rPr>
  </w:style>
  <w:style w:type="paragraph" w:styleId="TOCHeading">
    <w:name w:val="TOC Heading"/>
    <w:basedOn w:val="Heading1"/>
    <w:next w:val="Normal"/>
    <w:uiPriority w:val="99"/>
    <w:semiHidden/>
    <w:qFormat/>
    <w:rsid w:val="009B0194"/>
    <w:pPr>
      <w:outlineLvl w:val="9"/>
    </w:pPr>
    <w:rPr>
      <w:color w:val="474747" w:themeColor="accent3" w:themeShade="BF"/>
      <w:lang w:val="fr-FR" w:eastAsia="fr-FR"/>
    </w:rPr>
  </w:style>
  <w:style w:type="numbering" w:styleId="111111">
    <w:name w:val="Outline List 2"/>
    <w:basedOn w:val="NoList"/>
    <w:uiPriority w:val="99"/>
    <w:semiHidden/>
    <w:rsid w:val="00171962"/>
    <w:pPr>
      <w:numPr>
        <w:numId w:val="2"/>
      </w:numPr>
    </w:pPr>
  </w:style>
  <w:style w:type="numbering" w:styleId="1ai">
    <w:name w:val="Outline List 1"/>
    <w:basedOn w:val="NoList"/>
    <w:uiPriority w:val="99"/>
    <w:semiHidden/>
    <w:rsid w:val="00171962"/>
    <w:pPr>
      <w:numPr>
        <w:numId w:val="3"/>
      </w:numPr>
    </w:pPr>
  </w:style>
  <w:style w:type="numbering" w:styleId="ArticleSection">
    <w:name w:val="Outline List 3"/>
    <w:basedOn w:val="NoList"/>
    <w:uiPriority w:val="99"/>
    <w:semiHidden/>
    <w:rsid w:val="00171962"/>
    <w:pPr>
      <w:numPr>
        <w:numId w:val="4"/>
      </w:numPr>
    </w:pPr>
  </w:style>
  <w:style w:type="paragraph" w:styleId="Bibliography">
    <w:name w:val="Bibliography"/>
    <w:basedOn w:val="Normal"/>
    <w:next w:val="Normal"/>
    <w:uiPriority w:val="99"/>
    <w:semiHidden/>
    <w:unhideWhenUsed/>
    <w:rsid w:val="00171962"/>
  </w:style>
  <w:style w:type="paragraph" w:styleId="BlockText">
    <w:name w:val="Block Text"/>
    <w:basedOn w:val="Normal"/>
    <w:uiPriority w:val="99"/>
    <w:semiHidden/>
    <w:rsid w:val="00171962"/>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BodyText">
    <w:name w:val="Body Text"/>
    <w:basedOn w:val="Normal"/>
    <w:link w:val="BodyTextChar"/>
    <w:uiPriority w:val="99"/>
    <w:semiHidden/>
    <w:rsid w:val="00171962"/>
    <w:pPr>
      <w:spacing w:after="120"/>
    </w:pPr>
  </w:style>
  <w:style w:type="character" w:customStyle="1" w:styleId="BodyTextChar">
    <w:name w:val="Body Text Char"/>
    <w:basedOn w:val="DefaultParagraphFont"/>
    <w:link w:val="BodyText"/>
    <w:rsid w:val="00171962"/>
    <w:rPr>
      <w:sz w:val="24"/>
      <w:lang w:val="en-GB"/>
    </w:rPr>
  </w:style>
  <w:style w:type="paragraph" w:styleId="BodyText2">
    <w:name w:val="Body Text 2"/>
    <w:basedOn w:val="Normal"/>
    <w:link w:val="BodyText2Char"/>
    <w:uiPriority w:val="99"/>
    <w:semiHidden/>
    <w:rsid w:val="00171962"/>
    <w:pPr>
      <w:spacing w:after="120" w:line="480" w:lineRule="auto"/>
    </w:pPr>
  </w:style>
  <w:style w:type="character" w:customStyle="1" w:styleId="BodyText2Char">
    <w:name w:val="Body Text 2 Char"/>
    <w:basedOn w:val="DefaultParagraphFont"/>
    <w:link w:val="BodyText2"/>
    <w:rsid w:val="00171962"/>
    <w:rPr>
      <w:sz w:val="24"/>
      <w:lang w:val="en-GB"/>
    </w:rPr>
  </w:style>
  <w:style w:type="paragraph" w:styleId="BodyText3">
    <w:name w:val="Body Text 3"/>
    <w:basedOn w:val="Normal"/>
    <w:link w:val="BodyText3Char"/>
    <w:uiPriority w:val="99"/>
    <w:semiHidden/>
    <w:rsid w:val="00171962"/>
    <w:pPr>
      <w:spacing w:after="120"/>
    </w:pPr>
    <w:rPr>
      <w:sz w:val="16"/>
      <w:szCs w:val="16"/>
    </w:rPr>
  </w:style>
  <w:style w:type="character" w:customStyle="1" w:styleId="BodyText3Char">
    <w:name w:val="Body Text 3 Char"/>
    <w:basedOn w:val="DefaultParagraphFont"/>
    <w:link w:val="BodyText3"/>
    <w:rsid w:val="00171962"/>
    <w:rPr>
      <w:sz w:val="16"/>
      <w:szCs w:val="16"/>
      <w:lang w:val="en-GB"/>
    </w:rPr>
  </w:style>
  <w:style w:type="paragraph" w:styleId="BodyTextFirstIndent">
    <w:name w:val="Body Text First Indent"/>
    <w:basedOn w:val="BodyText"/>
    <w:link w:val="BodyTextFirstIndentChar"/>
    <w:uiPriority w:val="99"/>
    <w:semiHidden/>
    <w:rsid w:val="00171962"/>
    <w:pPr>
      <w:spacing w:after="0"/>
      <w:ind w:firstLine="360"/>
    </w:pPr>
  </w:style>
  <w:style w:type="character" w:customStyle="1" w:styleId="BodyTextFirstIndentChar">
    <w:name w:val="Body Text First Indent Char"/>
    <w:basedOn w:val="BodyTextChar"/>
    <w:link w:val="BodyTextFirstIndent"/>
    <w:rsid w:val="00171962"/>
    <w:rPr>
      <w:sz w:val="24"/>
      <w:lang w:val="en-GB"/>
    </w:rPr>
  </w:style>
  <w:style w:type="paragraph" w:styleId="BodyTextIndent">
    <w:name w:val="Body Text Indent"/>
    <w:basedOn w:val="Normal"/>
    <w:link w:val="BodyTextIndentChar"/>
    <w:uiPriority w:val="99"/>
    <w:semiHidden/>
    <w:rsid w:val="00171962"/>
    <w:pPr>
      <w:spacing w:after="120"/>
      <w:ind w:left="283"/>
    </w:pPr>
  </w:style>
  <w:style w:type="character" w:customStyle="1" w:styleId="BodyTextIndentChar">
    <w:name w:val="Body Text Indent Char"/>
    <w:basedOn w:val="DefaultParagraphFont"/>
    <w:link w:val="BodyTextIndent"/>
    <w:rsid w:val="00171962"/>
    <w:rPr>
      <w:sz w:val="24"/>
      <w:lang w:val="en-GB"/>
    </w:rPr>
  </w:style>
  <w:style w:type="paragraph" w:styleId="BodyTextFirstIndent2">
    <w:name w:val="Body Text First Indent 2"/>
    <w:basedOn w:val="BodyTextIndent"/>
    <w:link w:val="BodyTextFirstIndent2Char"/>
    <w:uiPriority w:val="99"/>
    <w:semiHidden/>
    <w:rsid w:val="00171962"/>
    <w:pPr>
      <w:spacing w:after="0"/>
      <w:ind w:left="360" w:firstLine="360"/>
    </w:pPr>
  </w:style>
  <w:style w:type="character" w:customStyle="1" w:styleId="BodyTextFirstIndent2Char">
    <w:name w:val="Body Text First Indent 2 Char"/>
    <w:basedOn w:val="BodyTextIndentChar"/>
    <w:link w:val="BodyTextFirstIndent2"/>
    <w:rsid w:val="00171962"/>
    <w:rPr>
      <w:sz w:val="24"/>
      <w:lang w:val="en-GB"/>
    </w:rPr>
  </w:style>
  <w:style w:type="paragraph" w:styleId="BodyTextIndent2">
    <w:name w:val="Body Text Indent 2"/>
    <w:basedOn w:val="Normal"/>
    <w:link w:val="BodyTextIndent2Char"/>
    <w:uiPriority w:val="99"/>
    <w:semiHidden/>
    <w:rsid w:val="00171962"/>
    <w:pPr>
      <w:spacing w:after="120" w:line="480" w:lineRule="auto"/>
      <w:ind w:left="283"/>
    </w:pPr>
  </w:style>
  <w:style w:type="character" w:customStyle="1" w:styleId="BodyTextIndent2Char">
    <w:name w:val="Body Text Indent 2 Char"/>
    <w:basedOn w:val="DefaultParagraphFont"/>
    <w:link w:val="BodyTextIndent2"/>
    <w:rsid w:val="00171962"/>
    <w:rPr>
      <w:sz w:val="24"/>
      <w:lang w:val="en-GB"/>
    </w:rPr>
  </w:style>
  <w:style w:type="paragraph" w:styleId="BodyTextIndent3">
    <w:name w:val="Body Text Indent 3"/>
    <w:basedOn w:val="Normal"/>
    <w:link w:val="BodyTextIndent3Char"/>
    <w:uiPriority w:val="99"/>
    <w:semiHidden/>
    <w:rsid w:val="00171962"/>
    <w:pPr>
      <w:spacing w:after="120"/>
      <w:ind w:left="283"/>
    </w:pPr>
    <w:rPr>
      <w:sz w:val="16"/>
      <w:szCs w:val="16"/>
    </w:rPr>
  </w:style>
  <w:style w:type="character" w:customStyle="1" w:styleId="BodyTextIndent3Char">
    <w:name w:val="Body Text Indent 3 Char"/>
    <w:basedOn w:val="DefaultParagraphFont"/>
    <w:link w:val="BodyTextIndent3"/>
    <w:rsid w:val="00171962"/>
    <w:rPr>
      <w:sz w:val="16"/>
      <w:szCs w:val="16"/>
      <w:lang w:val="en-GB"/>
    </w:rPr>
  </w:style>
  <w:style w:type="paragraph" w:styleId="Caption">
    <w:name w:val="caption"/>
    <w:basedOn w:val="Normal"/>
    <w:next w:val="Normal"/>
    <w:uiPriority w:val="99"/>
    <w:semiHidden/>
    <w:qFormat/>
    <w:rsid w:val="00171962"/>
    <w:pPr>
      <w:spacing w:after="200"/>
    </w:pPr>
    <w:rPr>
      <w:b/>
      <w:bCs/>
      <w:color w:val="0072BC" w:themeColor="accent1"/>
      <w:sz w:val="18"/>
      <w:szCs w:val="18"/>
      <w:lang w:val="fr-FR" w:eastAsia="fr-FR"/>
    </w:rPr>
  </w:style>
  <w:style w:type="paragraph" w:styleId="Closing">
    <w:name w:val="Closing"/>
    <w:basedOn w:val="Normal"/>
    <w:link w:val="ClosingChar"/>
    <w:uiPriority w:val="99"/>
    <w:semiHidden/>
    <w:rsid w:val="00171962"/>
    <w:pPr>
      <w:ind w:left="4252"/>
    </w:pPr>
  </w:style>
  <w:style w:type="character" w:customStyle="1" w:styleId="ClosingChar">
    <w:name w:val="Closing Char"/>
    <w:basedOn w:val="DefaultParagraphFont"/>
    <w:link w:val="Closing"/>
    <w:rsid w:val="00171962"/>
    <w:rPr>
      <w:sz w:val="24"/>
      <w:lang w:val="en-GB"/>
    </w:rPr>
  </w:style>
  <w:style w:type="table" w:styleId="ColorfulGrid">
    <w:name w:val="Colorful Grid"/>
    <w:basedOn w:val="TableNormal"/>
    <w:uiPriority w:val="99"/>
    <w:semiHidden/>
    <w:rsid w:val="00171962"/>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rsid w:val="00171962"/>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99"/>
    <w:semiHidden/>
    <w:rsid w:val="00171962"/>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99"/>
    <w:semiHidden/>
    <w:rsid w:val="00171962"/>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99"/>
    <w:semiHidden/>
    <w:rsid w:val="00171962"/>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99"/>
    <w:semiHidden/>
    <w:rsid w:val="00171962"/>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99"/>
    <w:semiHidden/>
    <w:rsid w:val="00171962"/>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99"/>
    <w:semiHidden/>
    <w:rsid w:val="00171962"/>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rsid w:val="00171962"/>
    <w:rPr>
      <w:color w:val="000000" w:themeColor="text1"/>
    </w:rPr>
    <w:tblPr>
      <w:tblStyleRowBandSize w:val="1"/>
      <w:tblStyleColBandSize w:val="1"/>
      <w:tblInd w:w="0" w:type="dxa"/>
      <w:tblCellMar>
        <w:top w:w="0" w:type="dxa"/>
        <w:left w:w="108" w:type="dxa"/>
        <w:bottom w:w="0" w:type="dxa"/>
        <w:right w:w="108" w:type="dxa"/>
      </w:tblCellMar>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99"/>
    <w:semiHidden/>
    <w:rsid w:val="00171962"/>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99"/>
    <w:semiHidden/>
    <w:rsid w:val="00171962"/>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99"/>
    <w:semiHidden/>
    <w:rsid w:val="00171962"/>
    <w:rPr>
      <w:color w:val="000000" w:themeColor="text1"/>
    </w:rPr>
    <w:tblPr>
      <w:tblStyleRowBandSize w:val="1"/>
      <w:tblStyleColBandSize w:val="1"/>
      <w:tblInd w:w="0" w:type="dxa"/>
      <w:tblCellMar>
        <w:top w:w="0" w:type="dxa"/>
        <w:left w:w="108" w:type="dxa"/>
        <w:bottom w:w="0" w:type="dxa"/>
        <w:right w:w="108" w:type="dxa"/>
      </w:tblCellMar>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99"/>
    <w:semiHidden/>
    <w:rsid w:val="00171962"/>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99"/>
    <w:semiHidden/>
    <w:rsid w:val="00171962"/>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99"/>
    <w:semiHidden/>
    <w:rsid w:val="00171962"/>
    <w:rPr>
      <w:color w:val="000000" w:themeColor="text1"/>
    </w:rPr>
    <w:tblPr>
      <w:tblStyleRowBandSize w:val="1"/>
      <w:tblStyleColBandSize w:val="1"/>
      <w:tblInd w:w="0" w:type="dxa"/>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rsid w:val="00171962"/>
    <w:rPr>
      <w:color w:val="000000" w:themeColor="text1"/>
    </w:rPr>
    <w:tblPr>
      <w:tblStyleRowBandSize w:val="1"/>
      <w:tblStyleColBandSize w:val="1"/>
      <w:tblInd w:w="0" w:type="dxa"/>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rsid w:val="00171962"/>
    <w:rPr>
      <w:color w:val="000000" w:themeColor="text1"/>
    </w:rPr>
    <w:tblPr>
      <w:tblStyleRowBandSize w:val="1"/>
      <w:tblStyleColBandSize w:val="1"/>
      <w:tblInd w:w="0" w:type="dxa"/>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rsid w:val="00171962"/>
    <w:rPr>
      <w:color w:val="000000" w:themeColor="text1"/>
    </w:rPr>
    <w:tblPr>
      <w:tblStyleRowBandSize w:val="1"/>
      <w:tblStyleColBandSize w:val="1"/>
      <w:tblInd w:w="0" w:type="dxa"/>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99"/>
    <w:semiHidden/>
    <w:rsid w:val="00171962"/>
    <w:rPr>
      <w:color w:val="000000" w:themeColor="text1"/>
    </w:rPr>
    <w:tblPr>
      <w:tblStyleRowBandSize w:val="1"/>
      <w:tblStyleColBandSize w:val="1"/>
      <w:tblInd w:w="0" w:type="dxa"/>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rsid w:val="00171962"/>
    <w:rPr>
      <w:color w:val="000000" w:themeColor="text1"/>
    </w:rPr>
    <w:tblPr>
      <w:tblStyleRowBandSize w:val="1"/>
      <w:tblStyleColBandSize w:val="1"/>
      <w:tblInd w:w="0" w:type="dxa"/>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rsid w:val="00171962"/>
    <w:rPr>
      <w:color w:val="000000" w:themeColor="text1"/>
    </w:rPr>
    <w:tblPr>
      <w:tblStyleRowBandSize w:val="1"/>
      <w:tblStyleColBandSize w:val="1"/>
      <w:tblInd w:w="0" w:type="dxa"/>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99"/>
    <w:semiHidden/>
    <w:rsid w:val="00171962"/>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rsid w:val="00171962"/>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99"/>
    <w:semiHidden/>
    <w:rsid w:val="00171962"/>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99"/>
    <w:semiHidden/>
    <w:rsid w:val="00171962"/>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99"/>
    <w:semiHidden/>
    <w:rsid w:val="00171962"/>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99"/>
    <w:semiHidden/>
    <w:rsid w:val="00171962"/>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99"/>
    <w:semiHidden/>
    <w:rsid w:val="00171962"/>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rsid w:val="00171962"/>
  </w:style>
  <w:style w:type="character" w:customStyle="1" w:styleId="DateChar">
    <w:name w:val="Date Char"/>
    <w:basedOn w:val="DefaultParagraphFont"/>
    <w:link w:val="Date"/>
    <w:rsid w:val="00171962"/>
    <w:rPr>
      <w:sz w:val="24"/>
      <w:lang w:val="en-GB"/>
    </w:rPr>
  </w:style>
  <w:style w:type="paragraph" w:styleId="E-mailSignature">
    <w:name w:val="E-mail Signature"/>
    <w:basedOn w:val="Normal"/>
    <w:link w:val="E-mailSignatureChar"/>
    <w:uiPriority w:val="99"/>
    <w:semiHidden/>
    <w:rsid w:val="00171962"/>
  </w:style>
  <w:style w:type="character" w:customStyle="1" w:styleId="E-mailSignatureChar">
    <w:name w:val="E-mail Signature Char"/>
    <w:basedOn w:val="DefaultParagraphFont"/>
    <w:link w:val="E-mailSignature"/>
    <w:rsid w:val="00171962"/>
    <w:rPr>
      <w:sz w:val="24"/>
      <w:lang w:val="en-GB"/>
    </w:rPr>
  </w:style>
  <w:style w:type="paragraph" w:styleId="EnvelopeAddress">
    <w:name w:val="envelope address"/>
    <w:basedOn w:val="Normal"/>
    <w:uiPriority w:val="99"/>
    <w:semiHidden/>
    <w:rsid w:val="00171962"/>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EnvelopeReturn">
    <w:name w:val="envelope return"/>
    <w:basedOn w:val="Normal"/>
    <w:uiPriority w:val="99"/>
    <w:semiHidden/>
    <w:rsid w:val="00171962"/>
    <w:rPr>
      <w:rFonts w:asciiTheme="majorHAnsi" w:eastAsiaTheme="majorEastAsia" w:hAnsiTheme="majorHAnsi" w:cstheme="majorBidi"/>
      <w:sz w:val="20"/>
      <w:szCs w:val="20"/>
    </w:rPr>
  </w:style>
  <w:style w:type="character" w:styleId="HTMLAcronym">
    <w:name w:val="HTML Acronym"/>
    <w:basedOn w:val="DefaultParagraphFont"/>
    <w:uiPriority w:val="99"/>
    <w:semiHidden/>
    <w:rsid w:val="00171962"/>
  </w:style>
  <w:style w:type="paragraph" w:styleId="HTMLAddress">
    <w:name w:val="HTML Address"/>
    <w:basedOn w:val="Normal"/>
    <w:link w:val="HTMLAddressChar"/>
    <w:uiPriority w:val="99"/>
    <w:semiHidden/>
    <w:rsid w:val="00171962"/>
    <w:rPr>
      <w:i/>
      <w:iCs/>
    </w:rPr>
  </w:style>
  <w:style w:type="character" w:customStyle="1" w:styleId="HTMLAddressChar">
    <w:name w:val="HTML Address Char"/>
    <w:basedOn w:val="DefaultParagraphFont"/>
    <w:link w:val="HTMLAddress"/>
    <w:rsid w:val="00171962"/>
    <w:rPr>
      <w:i/>
      <w:iCs/>
      <w:sz w:val="24"/>
      <w:lang w:val="en-GB"/>
    </w:rPr>
  </w:style>
  <w:style w:type="character" w:styleId="HTMLCite">
    <w:name w:val="HTML Cite"/>
    <w:basedOn w:val="DefaultParagraphFont"/>
    <w:uiPriority w:val="99"/>
    <w:semiHidden/>
    <w:rsid w:val="00171962"/>
    <w:rPr>
      <w:i/>
      <w:iCs/>
    </w:rPr>
  </w:style>
  <w:style w:type="character" w:styleId="HTMLCode">
    <w:name w:val="HTML Code"/>
    <w:basedOn w:val="DefaultParagraphFont"/>
    <w:uiPriority w:val="99"/>
    <w:semiHidden/>
    <w:rsid w:val="00171962"/>
    <w:rPr>
      <w:rFonts w:ascii="Consolas" w:hAnsi="Consolas" w:cs="Consolas"/>
      <w:sz w:val="20"/>
      <w:szCs w:val="20"/>
    </w:rPr>
  </w:style>
  <w:style w:type="character" w:styleId="HTMLDefinition">
    <w:name w:val="HTML Definition"/>
    <w:basedOn w:val="DefaultParagraphFont"/>
    <w:uiPriority w:val="99"/>
    <w:semiHidden/>
    <w:rsid w:val="00171962"/>
    <w:rPr>
      <w:i/>
      <w:iCs/>
    </w:rPr>
  </w:style>
  <w:style w:type="character" w:styleId="HTMLKeyboard">
    <w:name w:val="HTML Keyboard"/>
    <w:basedOn w:val="DefaultParagraphFont"/>
    <w:uiPriority w:val="99"/>
    <w:semiHidden/>
    <w:rsid w:val="00171962"/>
    <w:rPr>
      <w:rFonts w:ascii="Consolas" w:hAnsi="Consolas" w:cs="Consolas"/>
      <w:sz w:val="20"/>
      <w:szCs w:val="20"/>
    </w:rPr>
  </w:style>
  <w:style w:type="paragraph" w:styleId="HTMLPreformatted">
    <w:name w:val="HTML Preformatted"/>
    <w:basedOn w:val="Normal"/>
    <w:link w:val="HTMLPreformattedChar"/>
    <w:uiPriority w:val="99"/>
    <w:semiHidden/>
    <w:rsid w:val="00171962"/>
    <w:rPr>
      <w:rFonts w:ascii="Consolas" w:hAnsi="Consolas" w:cs="Consolas"/>
      <w:sz w:val="20"/>
      <w:szCs w:val="20"/>
    </w:rPr>
  </w:style>
  <w:style w:type="character" w:customStyle="1" w:styleId="HTMLPreformattedChar">
    <w:name w:val="HTML Preformatted Char"/>
    <w:basedOn w:val="DefaultParagraphFont"/>
    <w:link w:val="HTMLPreformatted"/>
    <w:rsid w:val="00171962"/>
    <w:rPr>
      <w:rFonts w:ascii="Consolas" w:hAnsi="Consolas" w:cs="Consolas"/>
      <w:sz w:val="20"/>
      <w:szCs w:val="20"/>
      <w:lang w:val="en-GB"/>
    </w:rPr>
  </w:style>
  <w:style w:type="character" w:styleId="HTMLSample">
    <w:name w:val="HTML Sample"/>
    <w:basedOn w:val="DefaultParagraphFont"/>
    <w:uiPriority w:val="99"/>
    <w:semiHidden/>
    <w:rsid w:val="00171962"/>
    <w:rPr>
      <w:rFonts w:ascii="Consolas" w:hAnsi="Consolas" w:cs="Consolas"/>
      <w:sz w:val="24"/>
      <w:szCs w:val="24"/>
    </w:rPr>
  </w:style>
  <w:style w:type="character" w:styleId="HTMLTypewriter">
    <w:name w:val="HTML Typewriter"/>
    <w:basedOn w:val="DefaultParagraphFont"/>
    <w:uiPriority w:val="99"/>
    <w:semiHidden/>
    <w:rsid w:val="00171962"/>
    <w:rPr>
      <w:rFonts w:ascii="Consolas" w:hAnsi="Consolas" w:cs="Consolas"/>
      <w:sz w:val="20"/>
      <w:szCs w:val="20"/>
    </w:rPr>
  </w:style>
  <w:style w:type="character" w:styleId="HTMLVariable">
    <w:name w:val="HTML Variable"/>
    <w:basedOn w:val="DefaultParagraphFont"/>
    <w:uiPriority w:val="99"/>
    <w:semiHidden/>
    <w:rsid w:val="00171962"/>
    <w:rPr>
      <w:i/>
      <w:iCs/>
    </w:rPr>
  </w:style>
  <w:style w:type="paragraph" w:styleId="Index1">
    <w:name w:val="index 1"/>
    <w:basedOn w:val="Normal"/>
    <w:next w:val="Normal"/>
    <w:autoRedefine/>
    <w:uiPriority w:val="99"/>
    <w:semiHidden/>
    <w:rsid w:val="00171962"/>
    <w:pPr>
      <w:ind w:left="240" w:hanging="240"/>
    </w:pPr>
  </w:style>
  <w:style w:type="paragraph" w:styleId="Index2">
    <w:name w:val="index 2"/>
    <w:basedOn w:val="Normal"/>
    <w:next w:val="Normal"/>
    <w:autoRedefine/>
    <w:uiPriority w:val="99"/>
    <w:semiHidden/>
    <w:rsid w:val="00171962"/>
    <w:pPr>
      <w:ind w:left="480" w:hanging="240"/>
    </w:pPr>
  </w:style>
  <w:style w:type="paragraph" w:styleId="Index3">
    <w:name w:val="index 3"/>
    <w:basedOn w:val="Normal"/>
    <w:next w:val="Normal"/>
    <w:autoRedefine/>
    <w:uiPriority w:val="99"/>
    <w:semiHidden/>
    <w:rsid w:val="00171962"/>
    <w:pPr>
      <w:ind w:left="720" w:hanging="240"/>
    </w:pPr>
  </w:style>
  <w:style w:type="paragraph" w:styleId="Index4">
    <w:name w:val="index 4"/>
    <w:basedOn w:val="Normal"/>
    <w:next w:val="Normal"/>
    <w:autoRedefine/>
    <w:uiPriority w:val="99"/>
    <w:semiHidden/>
    <w:rsid w:val="00171962"/>
    <w:pPr>
      <w:ind w:left="960" w:hanging="240"/>
    </w:pPr>
  </w:style>
  <w:style w:type="paragraph" w:styleId="Index5">
    <w:name w:val="index 5"/>
    <w:basedOn w:val="Normal"/>
    <w:next w:val="Normal"/>
    <w:autoRedefine/>
    <w:uiPriority w:val="99"/>
    <w:semiHidden/>
    <w:rsid w:val="00171962"/>
    <w:pPr>
      <w:ind w:left="1200" w:hanging="240"/>
    </w:pPr>
  </w:style>
  <w:style w:type="paragraph" w:styleId="Index6">
    <w:name w:val="index 6"/>
    <w:basedOn w:val="Normal"/>
    <w:next w:val="Normal"/>
    <w:autoRedefine/>
    <w:uiPriority w:val="99"/>
    <w:semiHidden/>
    <w:rsid w:val="00171962"/>
    <w:pPr>
      <w:ind w:left="1440" w:hanging="240"/>
    </w:pPr>
  </w:style>
  <w:style w:type="paragraph" w:styleId="Index7">
    <w:name w:val="index 7"/>
    <w:basedOn w:val="Normal"/>
    <w:next w:val="Normal"/>
    <w:autoRedefine/>
    <w:uiPriority w:val="99"/>
    <w:semiHidden/>
    <w:rsid w:val="00171962"/>
    <w:pPr>
      <w:ind w:left="1680" w:hanging="240"/>
    </w:pPr>
  </w:style>
  <w:style w:type="paragraph" w:styleId="Index8">
    <w:name w:val="index 8"/>
    <w:basedOn w:val="Normal"/>
    <w:next w:val="Normal"/>
    <w:autoRedefine/>
    <w:uiPriority w:val="99"/>
    <w:semiHidden/>
    <w:rsid w:val="00171962"/>
    <w:pPr>
      <w:ind w:left="1920" w:hanging="240"/>
    </w:pPr>
  </w:style>
  <w:style w:type="paragraph" w:styleId="Index9">
    <w:name w:val="index 9"/>
    <w:basedOn w:val="Normal"/>
    <w:next w:val="Normal"/>
    <w:autoRedefine/>
    <w:uiPriority w:val="99"/>
    <w:semiHidden/>
    <w:rsid w:val="00171962"/>
    <w:pPr>
      <w:ind w:left="2160" w:hanging="240"/>
    </w:pPr>
  </w:style>
  <w:style w:type="paragraph" w:styleId="IndexHeading">
    <w:name w:val="index heading"/>
    <w:basedOn w:val="Normal"/>
    <w:next w:val="Index1"/>
    <w:uiPriority w:val="99"/>
    <w:semiHidden/>
    <w:rsid w:val="00171962"/>
    <w:rPr>
      <w:rFonts w:asciiTheme="majorHAnsi" w:eastAsiaTheme="majorEastAsia" w:hAnsiTheme="majorHAnsi" w:cstheme="majorBidi"/>
      <w:b/>
      <w:bCs/>
    </w:rPr>
  </w:style>
  <w:style w:type="table" w:styleId="LightGrid">
    <w:name w:val="Light Grid"/>
    <w:basedOn w:val="TableNormal"/>
    <w:uiPriority w:val="99"/>
    <w:semiHidden/>
    <w:rsid w:val="00171962"/>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rsid w:val="00171962"/>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99"/>
    <w:semiHidden/>
    <w:rsid w:val="00171962"/>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99"/>
    <w:semiHidden/>
    <w:rsid w:val="00171962"/>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99"/>
    <w:semiHidden/>
    <w:rsid w:val="00171962"/>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99"/>
    <w:semiHidden/>
    <w:rsid w:val="00171962"/>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99"/>
    <w:semiHidden/>
    <w:rsid w:val="00171962"/>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99"/>
    <w:semiHidden/>
    <w:rsid w:val="00171962"/>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rsid w:val="00171962"/>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99"/>
    <w:semiHidden/>
    <w:rsid w:val="00171962"/>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99"/>
    <w:semiHidden/>
    <w:rsid w:val="00171962"/>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99"/>
    <w:semiHidden/>
    <w:rsid w:val="00171962"/>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99"/>
    <w:semiHidden/>
    <w:rsid w:val="00171962"/>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99"/>
    <w:semiHidden/>
    <w:rsid w:val="00171962"/>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99"/>
    <w:semiHidden/>
    <w:rsid w:val="00171962"/>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rsid w:val="00171962"/>
    <w:rPr>
      <w:color w:val="00548C" w:themeColor="accent1" w:themeShade="BF"/>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99"/>
    <w:semiHidden/>
    <w:rsid w:val="00171962"/>
    <w:rPr>
      <w:color w:val="8F0000" w:themeColor="accent2" w:themeShade="BF"/>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99"/>
    <w:semiHidden/>
    <w:rsid w:val="00171962"/>
    <w:rPr>
      <w:color w:val="474747" w:themeColor="accent3" w:themeShade="BF"/>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99"/>
    <w:semiHidden/>
    <w:rsid w:val="00171962"/>
    <w:rPr>
      <w:color w:val="707070" w:themeColor="accent4" w:themeShade="BF"/>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99"/>
    <w:semiHidden/>
    <w:rsid w:val="00171962"/>
    <w:rPr>
      <w:color w:val="474747" w:themeColor="accent5" w:themeShade="BF"/>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99"/>
    <w:semiHidden/>
    <w:rsid w:val="00171962"/>
    <w:rPr>
      <w:color w:val="393939" w:themeColor="accent6" w:themeShade="BF"/>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rsid w:val="00171962"/>
  </w:style>
  <w:style w:type="paragraph" w:styleId="List">
    <w:name w:val="List"/>
    <w:basedOn w:val="Normal"/>
    <w:uiPriority w:val="99"/>
    <w:semiHidden/>
    <w:rsid w:val="00171962"/>
    <w:pPr>
      <w:ind w:left="283" w:hanging="283"/>
      <w:contextualSpacing/>
    </w:pPr>
  </w:style>
  <w:style w:type="paragraph" w:styleId="List2">
    <w:name w:val="List 2"/>
    <w:basedOn w:val="Normal"/>
    <w:uiPriority w:val="99"/>
    <w:semiHidden/>
    <w:rsid w:val="00171962"/>
    <w:pPr>
      <w:ind w:left="566" w:hanging="283"/>
      <w:contextualSpacing/>
    </w:pPr>
  </w:style>
  <w:style w:type="paragraph" w:styleId="List3">
    <w:name w:val="List 3"/>
    <w:basedOn w:val="Normal"/>
    <w:uiPriority w:val="99"/>
    <w:semiHidden/>
    <w:rsid w:val="00171962"/>
    <w:pPr>
      <w:ind w:left="849" w:hanging="283"/>
      <w:contextualSpacing/>
    </w:pPr>
  </w:style>
  <w:style w:type="paragraph" w:styleId="List4">
    <w:name w:val="List 4"/>
    <w:basedOn w:val="Normal"/>
    <w:uiPriority w:val="99"/>
    <w:semiHidden/>
    <w:rsid w:val="00171962"/>
    <w:pPr>
      <w:ind w:left="1132" w:hanging="283"/>
      <w:contextualSpacing/>
    </w:pPr>
  </w:style>
  <w:style w:type="paragraph" w:styleId="List5">
    <w:name w:val="List 5"/>
    <w:basedOn w:val="Normal"/>
    <w:uiPriority w:val="99"/>
    <w:semiHidden/>
    <w:rsid w:val="00171962"/>
    <w:pPr>
      <w:ind w:left="1415" w:hanging="283"/>
      <w:contextualSpacing/>
    </w:pPr>
  </w:style>
  <w:style w:type="paragraph" w:styleId="ListBullet2">
    <w:name w:val="List Bullet 2"/>
    <w:basedOn w:val="Normal"/>
    <w:uiPriority w:val="99"/>
    <w:semiHidden/>
    <w:rsid w:val="00171962"/>
    <w:pPr>
      <w:numPr>
        <w:numId w:val="5"/>
      </w:numPr>
      <w:contextualSpacing/>
    </w:pPr>
  </w:style>
  <w:style w:type="paragraph" w:styleId="ListBullet3">
    <w:name w:val="List Bullet 3"/>
    <w:basedOn w:val="Normal"/>
    <w:uiPriority w:val="99"/>
    <w:semiHidden/>
    <w:rsid w:val="00171962"/>
    <w:pPr>
      <w:numPr>
        <w:numId w:val="6"/>
      </w:numPr>
      <w:contextualSpacing/>
    </w:pPr>
  </w:style>
  <w:style w:type="paragraph" w:styleId="ListBullet4">
    <w:name w:val="List Bullet 4"/>
    <w:basedOn w:val="Normal"/>
    <w:uiPriority w:val="99"/>
    <w:semiHidden/>
    <w:rsid w:val="00171962"/>
    <w:pPr>
      <w:numPr>
        <w:numId w:val="7"/>
      </w:numPr>
      <w:contextualSpacing/>
    </w:pPr>
  </w:style>
  <w:style w:type="paragraph" w:styleId="ListBullet5">
    <w:name w:val="List Bullet 5"/>
    <w:basedOn w:val="Normal"/>
    <w:uiPriority w:val="99"/>
    <w:semiHidden/>
    <w:rsid w:val="00171962"/>
    <w:pPr>
      <w:numPr>
        <w:numId w:val="8"/>
      </w:numPr>
      <w:contextualSpacing/>
    </w:pPr>
  </w:style>
  <w:style w:type="paragraph" w:styleId="ListContinue">
    <w:name w:val="List Continue"/>
    <w:basedOn w:val="Normal"/>
    <w:uiPriority w:val="99"/>
    <w:semiHidden/>
    <w:rsid w:val="00171962"/>
    <w:pPr>
      <w:spacing w:after="120"/>
      <w:ind w:left="283"/>
      <w:contextualSpacing/>
    </w:pPr>
  </w:style>
  <w:style w:type="paragraph" w:styleId="ListContinue2">
    <w:name w:val="List Continue 2"/>
    <w:basedOn w:val="Normal"/>
    <w:uiPriority w:val="99"/>
    <w:semiHidden/>
    <w:rsid w:val="00171962"/>
    <w:pPr>
      <w:spacing w:after="120"/>
      <w:ind w:left="566"/>
      <w:contextualSpacing/>
    </w:pPr>
  </w:style>
  <w:style w:type="paragraph" w:styleId="ListContinue3">
    <w:name w:val="List Continue 3"/>
    <w:basedOn w:val="Normal"/>
    <w:uiPriority w:val="99"/>
    <w:semiHidden/>
    <w:rsid w:val="00171962"/>
    <w:pPr>
      <w:spacing w:after="120"/>
      <w:ind w:left="849"/>
      <w:contextualSpacing/>
    </w:pPr>
  </w:style>
  <w:style w:type="paragraph" w:styleId="ListContinue4">
    <w:name w:val="List Continue 4"/>
    <w:basedOn w:val="Normal"/>
    <w:uiPriority w:val="99"/>
    <w:semiHidden/>
    <w:rsid w:val="00171962"/>
    <w:pPr>
      <w:spacing w:after="120"/>
      <w:ind w:left="1132"/>
      <w:contextualSpacing/>
    </w:pPr>
  </w:style>
  <w:style w:type="paragraph" w:styleId="ListContinue5">
    <w:name w:val="List Continue 5"/>
    <w:basedOn w:val="Normal"/>
    <w:uiPriority w:val="99"/>
    <w:semiHidden/>
    <w:rsid w:val="00171962"/>
    <w:pPr>
      <w:spacing w:after="120"/>
      <w:ind w:left="1415"/>
      <w:contextualSpacing/>
    </w:pPr>
  </w:style>
  <w:style w:type="paragraph" w:styleId="ListNumber">
    <w:name w:val="List Number"/>
    <w:basedOn w:val="Normal"/>
    <w:uiPriority w:val="99"/>
    <w:semiHidden/>
    <w:rsid w:val="00171962"/>
    <w:pPr>
      <w:numPr>
        <w:numId w:val="9"/>
      </w:numPr>
      <w:contextualSpacing/>
    </w:pPr>
  </w:style>
  <w:style w:type="paragraph" w:styleId="ListNumber2">
    <w:name w:val="List Number 2"/>
    <w:basedOn w:val="Normal"/>
    <w:uiPriority w:val="99"/>
    <w:semiHidden/>
    <w:rsid w:val="00171962"/>
    <w:pPr>
      <w:numPr>
        <w:numId w:val="10"/>
      </w:numPr>
      <w:contextualSpacing/>
    </w:pPr>
  </w:style>
  <w:style w:type="paragraph" w:styleId="ListNumber3">
    <w:name w:val="List Number 3"/>
    <w:basedOn w:val="Normal"/>
    <w:uiPriority w:val="99"/>
    <w:semiHidden/>
    <w:rsid w:val="00171962"/>
    <w:pPr>
      <w:numPr>
        <w:numId w:val="11"/>
      </w:numPr>
      <w:contextualSpacing/>
    </w:pPr>
  </w:style>
  <w:style w:type="paragraph" w:styleId="ListNumber4">
    <w:name w:val="List Number 4"/>
    <w:basedOn w:val="Normal"/>
    <w:uiPriority w:val="99"/>
    <w:semiHidden/>
    <w:rsid w:val="00171962"/>
    <w:pPr>
      <w:numPr>
        <w:numId w:val="12"/>
      </w:numPr>
      <w:contextualSpacing/>
    </w:pPr>
  </w:style>
  <w:style w:type="paragraph" w:styleId="ListNumber5">
    <w:name w:val="List Number 5"/>
    <w:basedOn w:val="Normal"/>
    <w:uiPriority w:val="99"/>
    <w:semiHidden/>
    <w:rsid w:val="00171962"/>
    <w:pPr>
      <w:numPr>
        <w:numId w:val="13"/>
      </w:numPr>
      <w:contextualSpacing/>
    </w:pPr>
  </w:style>
  <w:style w:type="paragraph" w:styleId="MacroText">
    <w:name w:val="macro"/>
    <w:link w:val="MacroTextChar"/>
    <w:uiPriority w:val="99"/>
    <w:semiHidden/>
    <w:rsid w:val="00171962"/>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cs="Consolas"/>
      <w:sz w:val="20"/>
      <w:szCs w:val="20"/>
      <w:lang w:val="en-GB"/>
    </w:rPr>
  </w:style>
  <w:style w:type="character" w:customStyle="1" w:styleId="MacroTextChar">
    <w:name w:val="Macro Text Char"/>
    <w:basedOn w:val="DefaultParagraphFont"/>
    <w:link w:val="MacroText"/>
    <w:rsid w:val="00171962"/>
    <w:rPr>
      <w:rFonts w:ascii="Consolas" w:hAnsi="Consolas" w:cs="Consolas"/>
      <w:sz w:val="20"/>
      <w:szCs w:val="20"/>
      <w:lang w:val="en-GB"/>
    </w:rPr>
  </w:style>
  <w:style w:type="table" w:styleId="MediumGrid1">
    <w:name w:val="Medium Grid 1"/>
    <w:basedOn w:val="TableNormal"/>
    <w:uiPriority w:val="99"/>
    <w:semiHidden/>
    <w:rsid w:val="00171962"/>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rsid w:val="00171962"/>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CellMar>
        <w:top w:w="0" w:type="dxa"/>
        <w:left w:w="108" w:type="dxa"/>
        <w:bottom w:w="0" w:type="dxa"/>
        <w:right w:w="108" w:type="dxa"/>
      </w:tblCellMar>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99"/>
    <w:semiHidden/>
    <w:rsid w:val="00171962"/>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CellMar>
        <w:top w:w="0" w:type="dxa"/>
        <w:left w:w="108" w:type="dxa"/>
        <w:bottom w:w="0" w:type="dxa"/>
        <w:right w:w="108" w:type="dxa"/>
      </w:tblCellMar>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99"/>
    <w:semiHidden/>
    <w:rsid w:val="00171962"/>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CellMar>
        <w:top w:w="0" w:type="dxa"/>
        <w:left w:w="108" w:type="dxa"/>
        <w:bottom w:w="0" w:type="dxa"/>
        <w:right w:w="108" w:type="dxa"/>
      </w:tblCellMar>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99"/>
    <w:semiHidden/>
    <w:rsid w:val="00171962"/>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CellMar>
        <w:top w:w="0" w:type="dxa"/>
        <w:left w:w="108" w:type="dxa"/>
        <w:bottom w:w="0" w:type="dxa"/>
        <w:right w:w="108" w:type="dxa"/>
      </w:tblCellMar>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99"/>
    <w:semiHidden/>
    <w:rsid w:val="00171962"/>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CellMar>
        <w:top w:w="0" w:type="dxa"/>
        <w:left w:w="108" w:type="dxa"/>
        <w:bottom w:w="0" w:type="dxa"/>
        <w:right w:w="108" w:type="dxa"/>
      </w:tblCellMar>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99"/>
    <w:semiHidden/>
    <w:rsid w:val="00171962"/>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CellMar>
        <w:top w:w="0" w:type="dxa"/>
        <w:left w:w="108" w:type="dxa"/>
        <w:bottom w:w="0" w:type="dxa"/>
        <w:right w:w="108" w:type="dxa"/>
      </w:tblCellMar>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99"/>
    <w:semiHidden/>
    <w:rsid w:val="00171962"/>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99"/>
    <w:semiHidden/>
    <w:rsid w:val="00171962"/>
    <w:rPr>
      <w:rFonts w:asciiTheme="majorHAnsi" w:eastAsiaTheme="majorEastAsia" w:hAnsiTheme="majorHAnsi" w:cstheme="majorBidi"/>
      <w:color w:val="000000" w:themeColor="text1"/>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99"/>
    <w:semiHidden/>
    <w:rsid w:val="00171962"/>
    <w:rPr>
      <w:rFonts w:asciiTheme="majorHAnsi" w:eastAsiaTheme="majorEastAsia" w:hAnsiTheme="majorHAnsi" w:cstheme="majorBidi"/>
      <w:color w:val="000000" w:themeColor="text1"/>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99"/>
    <w:semiHidden/>
    <w:rsid w:val="00171962"/>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99"/>
    <w:semiHidden/>
    <w:rsid w:val="00171962"/>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99"/>
    <w:semiHidden/>
    <w:rsid w:val="00171962"/>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99"/>
    <w:semiHidden/>
    <w:rsid w:val="00171962"/>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99"/>
    <w:semiHidden/>
    <w:rsid w:val="00171962"/>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99"/>
    <w:semiHidden/>
    <w:rsid w:val="00171962"/>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99"/>
    <w:semiHidden/>
    <w:rsid w:val="00171962"/>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99"/>
    <w:semiHidden/>
    <w:rsid w:val="00171962"/>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99"/>
    <w:semiHidden/>
    <w:rsid w:val="00171962"/>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99"/>
    <w:semiHidden/>
    <w:rsid w:val="00171962"/>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99"/>
    <w:semiHidden/>
    <w:rsid w:val="00171962"/>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99"/>
    <w:semiHidden/>
    <w:rsid w:val="00171962"/>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rsid w:val="00171962"/>
    <w:rPr>
      <w:color w:val="000000" w:themeColor="text1"/>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99"/>
    <w:semiHidden/>
    <w:rsid w:val="00171962"/>
    <w:rPr>
      <w:color w:val="000000" w:themeColor="text1"/>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99"/>
    <w:semiHidden/>
    <w:rsid w:val="00171962"/>
    <w:rPr>
      <w:color w:val="000000" w:themeColor="text1"/>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99"/>
    <w:semiHidden/>
    <w:rsid w:val="00171962"/>
    <w:rPr>
      <w:color w:val="000000" w:themeColor="text1"/>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99"/>
    <w:semiHidden/>
    <w:rsid w:val="00171962"/>
    <w:rPr>
      <w:color w:val="000000" w:themeColor="text1"/>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99"/>
    <w:semiHidden/>
    <w:rsid w:val="00171962"/>
    <w:rPr>
      <w:color w:val="000000" w:themeColor="text1"/>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99"/>
    <w:semiHidden/>
    <w:rsid w:val="00171962"/>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99"/>
    <w:semiHidden/>
    <w:rsid w:val="00171962"/>
    <w:rPr>
      <w:rFonts w:asciiTheme="majorHAnsi" w:eastAsiaTheme="majorEastAsia" w:hAnsiTheme="majorHAnsi" w:cstheme="majorBidi"/>
      <w:color w:val="000000" w:themeColor="text1"/>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99"/>
    <w:semiHidden/>
    <w:rsid w:val="00171962"/>
    <w:rPr>
      <w:rFonts w:asciiTheme="majorHAnsi" w:eastAsiaTheme="majorEastAsia" w:hAnsiTheme="majorHAnsi" w:cstheme="majorBidi"/>
      <w:color w:val="000000" w:themeColor="text1"/>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99"/>
    <w:semiHidden/>
    <w:rsid w:val="00171962"/>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99"/>
    <w:semiHidden/>
    <w:rsid w:val="00171962"/>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99"/>
    <w:semiHidden/>
    <w:rsid w:val="00171962"/>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99"/>
    <w:semiHidden/>
    <w:rsid w:val="00171962"/>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99"/>
    <w:semiHidden/>
    <w:rsid w:val="00171962"/>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rsid w:val="00171962"/>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rsid w:val="00171962"/>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rsid w:val="00171962"/>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rsid w:val="00171962"/>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rsid w:val="00171962"/>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rsid w:val="00171962"/>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rsid w:val="0017196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rsid w:val="0017196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rsid w:val="0017196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17196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17196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17196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rsid w:val="0017196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171962"/>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171962"/>
    <w:rPr>
      <w:rFonts w:asciiTheme="majorHAnsi" w:eastAsiaTheme="majorEastAsia" w:hAnsiTheme="majorHAnsi" w:cstheme="majorBidi"/>
      <w:sz w:val="24"/>
      <w:szCs w:val="24"/>
      <w:shd w:val="pct20" w:color="auto" w:fill="auto"/>
      <w:lang w:val="en-GB"/>
    </w:rPr>
  </w:style>
  <w:style w:type="paragraph" w:styleId="NormalWeb">
    <w:name w:val="Normal (Web)"/>
    <w:basedOn w:val="Normal"/>
    <w:uiPriority w:val="99"/>
    <w:semiHidden/>
    <w:rsid w:val="00171962"/>
    <w:rPr>
      <w:rFonts w:ascii="Times New Roman" w:hAnsi="Times New Roman" w:cs="Times New Roman"/>
      <w:szCs w:val="24"/>
    </w:rPr>
  </w:style>
  <w:style w:type="paragraph" w:styleId="NormalIndent">
    <w:name w:val="Normal Indent"/>
    <w:basedOn w:val="Normal"/>
    <w:uiPriority w:val="99"/>
    <w:semiHidden/>
    <w:rsid w:val="00171962"/>
    <w:pPr>
      <w:ind w:left="720"/>
    </w:pPr>
  </w:style>
  <w:style w:type="paragraph" w:styleId="NoteHeading">
    <w:name w:val="Note Heading"/>
    <w:basedOn w:val="Normal"/>
    <w:next w:val="Normal"/>
    <w:link w:val="NoteHeadingChar"/>
    <w:uiPriority w:val="99"/>
    <w:semiHidden/>
    <w:rsid w:val="00171962"/>
  </w:style>
  <w:style w:type="character" w:customStyle="1" w:styleId="NoteHeadingChar">
    <w:name w:val="Note Heading Char"/>
    <w:basedOn w:val="DefaultParagraphFont"/>
    <w:link w:val="NoteHeading"/>
    <w:rsid w:val="00171962"/>
    <w:rPr>
      <w:sz w:val="24"/>
      <w:lang w:val="en-GB"/>
    </w:rPr>
  </w:style>
  <w:style w:type="character" w:styleId="PlaceholderText">
    <w:name w:val="Placeholder Text"/>
    <w:basedOn w:val="DefaultParagraphFont"/>
    <w:uiPriority w:val="99"/>
    <w:semiHidden/>
    <w:rsid w:val="00171962"/>
    <w:rPr>
      <w:color w:val="808080"/>
    </w:rPr>
  </w:style>
  <w:style w:type="paragraph" w:styleId="PlainText">
    <w:name w:val="Plain Text"/>
    <w:basedOn w:val="Normal"/>
    <w:link w:val="PlainTextChar"/>
    <w:uiPriority w:val="99"/>
    <w:semiHidden/>
    <w:rsid w:val="00171962"/>
    <w:rPr>
      <w:rFonts w:ascii="Consolas" w:hAnsi="Consolas" w:cs="Consolas"/>
      <w:sz w:val="21"/>
      <w:szCs w:val="21"/>
    </w:rPr>
  </w:style>
  <w:style w:type="character" w:customStyle="1" w:styleId="PlainTextChar">
    <w:name w:val="Plain Text Char"/>
    <w:basedOn w:val="DefaultParagraphFont"/>
    <w:link w:val="PlainText"/>
    <w:uiPriority w:val="99"/>
    <w:rsid w:val="00171962"/>
    <w:rPr>
      <w:rFonts w:ascii="Consolas" w:hAnsi="Consolas" w:cs="Consolas"/>
      <w:sz w:val="21"/>
      <w:szCs w:val="21"/>
      <w:lang w:val="en-GB"/>
    </w:rPr>
  </w:style>
  <w:style w:type="paragraph" w:styleId="Salutation">
    <w:name w:val="Salutation"/>
    <w:basedOn w:val="Normal"/>
    <w:next w:val="Normal"/>
    <w:link w:val="SalutationChar"/>
    <w:uiPriority w:val="99"/>
    <w:semiHidden/>
    <w:rsid w:val="00171962"/>
  </w:style>
  <w:style w:type="character" w:customStyle="1" w:styleId="SalutationChar">
    <w:name w:val="Salutation Char"/>
    <w:basedOn w:val="DefaultParagraphFont"/>
    <w:link w:val="Salutation"/>
    <w:rsid w:val="00171962"/>
    <w:rPr>
      <w:sz w:val="24"/>
      <w:lang w:val="en-GB"/>
    </w:rPr>
  </w:style>
  <w:style w:type="paragraph" w:styleId="Signature">
    <w:name w:val="Signature"/>
    <w:basedOn w:val="Normal"/>
    <w:link w:val="SignatureChar"/>
    <w:uiPriority w:val="99"/>
    <w:semiHidden/>
    <w:rsid w:val="00171962"/>
    <w:pPr>
      <w:ind w:left="4252"/>
    </w:pPr>
  </w:style>
  <w:style w:type="character" w:customStyle="1" w:styleId="SignatureChar">
    <w:name w:val="Signature Char"/>
    <w:basedOn w:val="DefaultParagraphFont"/>
    <w:link w:val="Signature"/>
    <w:rsid w:val="00171962"/>
    <w:rPr>
      <w:sz w:val="24"/>
      <w:lang w:val="en-GB"/>
    </w:rPr>
  </w:style>
  <w:style w:type="table" w:styleId="Table3Deffects1">
    <w:name w:val="Table 3D effects 1"/>
    <w:basedOn w:val="TableNormal"/>
    <w:uiPriority w:val="99"/>
    <w:semiHidden/>
    <w:rsid w:val="00171962"/>
    <w:pPr>
      <w:suppressAutoHyphens/>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171962"/>
    <w:pPr>
      <w:suppressAutoHyphens/>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171962"/>
    <w:pPr>
      <w:suppressAutoHyphens/>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171962"/>
    <w:pPr>
      <w:suppressAutoHyphens/>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171962"/>
    <w:pPr>
      <w:suppressAutoHyphens/>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171962"/>
    <w:pPr>
      <w:suppressAutoHyphens/>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171962"/>
    <w:pPr>
      <w:suppressAutoHyphens/>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171962"/>
    <w:pPr>
      <w:suppressAutoHyphens/>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171962"/>
    <w:pPr>
      <w:suppressAutoHyphens/>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171962"/>
    <w:pPr>
      <w:suppressAutoHyphens/>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171962"/>
    <w:pPr>
      <w:suppressAutoHyphens/>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171962"/>
    <w:pPr>
      <w:suppressAutoHyphens/>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171962"/>
    <w:pPr>
      <w:suppressAutoHyphens/>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171962"/>
    <w:pPr>
      <w:suppressAutoHyphens/>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171962"/>
    <w:pPr>
      <w:suppressAutoHyphens/>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171962"/>
    <w:pPr>
      <w:suppressAutoHyphens/>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171962"/>
    <w:pPr>
      <w:suppressAutoHyphens/>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semiHidden/>
    <w:rsid w:val="009B0194"/>
    <w:rPr>
      <w:rFonts w:eastAsiaTheme="minorEastAsia"/>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uiPriority w:val="99"/>
    <w:semiHidden/>
    <w:rsid w:val="00171962"/>
    <w:pPr>
      <w:suppressAutoHyphens/>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171962"/>
    <w:pPr>
      <w:suppressAutoHyphens/>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171962"/>
    <w:pPr>
      <w:suppressAutoHyphens/>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171962"/>
    <w:pPr>
      <w:suppressAutoHyphens/>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171962"/>
    <w:pPr>
      <w:suppressAutoHyphens/>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171962"/>
    <w:pPr>
      <w:suppressAutoHyphens/>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171962"/>
    <w:pPr>
      <w:suppressAutoHyphens/>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171962"/>
    <w:pPr>
      <w:suppressAutoHyphens/>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171962"/>
    <w:pPr>
      <w:suppressAutoHyphens/>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171962"/>
    <w:pPr>
      <w:suppressAutoHyphens/>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171962"/>
    <w:pPr>
      <w:suppressAutoHyphens/>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171962"/>
    <w:pPr>
      <w:suppressAutoHyphens/>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171962"/>
    <w:pPr>
      <w:suppressAutoHyphens/>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171962"/>
    <w:pPr>
      <w:suppressAutoHyphens/>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171962"/>
    <w:pPr>
      <w:suppressAutoHyphens/>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171962"/>
    <w:pPr>
      <w:suppressAutoHyphens/>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171962"/>
    <w:pPr>
      <w:ind w:left="240" w:hanging="240"/>
    </w:pPr>
  </w:style>
  <w:style w:type="paragraph" w:styleId="TableofFigures">
    <w:name w:val="table of figures"/>
    <w:basedOn w:val="Normal"/>
    <w:next w:val="Normal"/>
    <w:uiPriority w:val="99"/>
    <w:semiHidden/>
    <w:rsid w:val="00171962"/>
  </w:style>
  <w:style w:type="table" w:styleId="TableProfessional">
    <w:name w:val="Table Professional"/>
    <w:basedOn w:val="TableNormal"/>
    <w:uiPriority w:val="99"/>
    <w:semiHidden/>
    <w:rsid w:val="00171962"/>
    <w:pPr>
      <w:suppressAutoHyphens/>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171962"/>
    <w:pPr>
      <w:suppressAutoHyphens/>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171962"/>
    <w:pPr>
      <w:suppressAutoHyphens/>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171962"/>
    <w:pPr>
      <w:suppressAutoHyphens/>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171962"/>
    <w:pPr>
      <w:suppressAutoHyphens/>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171962"/>
    <w:pPr>
      <w:suppressAutoHyphens/>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171962"/>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171962"/>
    <w:pPr>
      <w:suppressAutoHyphens/>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171962"/>
    <w:pPr>
      <w:suppressAutoHyphens/>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171962"/>
    <w:pPr>
      <w:suppressAutoHyphens/>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9B0194"/>
    <w:pPr>
      <w:spacing w:before="120"/>
    </w:pPr>
    <w:rPr>
      <w:rFonts w:asciiTheme="majorHAnsi" w:eastAsiaTheme="majorEastAsia" w:hAnsiTheme="majorHAnsi" w:cstheme="majorBidi"/>
      <w:b/>
      <w:bCs/>
      <w:color w:val="474747" w:themeColor="accent3" w:themeShade="BF"/>
      <w:szCs w:val="24"/>
    </w:rPr>
  </w:style>
  <w:style w:type="paragraph" w:styleId="TOC1">
    <w:name w:val="toc 1"/>
    <w:basedOn w:val="Normal"/>
    <w:next w:val="Normal"/>
    <w:autoRedefine/>
    <w:uiPriority w:val="99"/>
    <w:semiHidden/>
    <w:rsid w:val="009B0194"/>
    <w:pPr>
      <w:spacing w:before="120" w:after="60"/>
      <w:ind w:left="340" w:right="340" w:hanging="340"/>
    </w:pPr>
    <w:rPr>
      <w:color w:val="0D0D0D" w:themeColor="text1" w:themeTint="F2"/>
    </w:rPr>
  </w:style>
  <w:style w:type="paragraph" w:styleId="TOC2">
    <w:name w:val="toc 2"/>
    <w:basedOn w:val="Normal"/>
    <w:next w:val="Normal"/>
    <w:autoRedefine/>
    <w:uiPriority w:val="99"/>
    <w:semiHidden/>
    <w:rsid w:val="009B0194"/>
    <w:pPr>
      <w:spacing w:after="60"/>
      <w:ind w:left="680" w:right="340" w:hanging="340"/>
    </w:pPr>
  </w:style>
  <w:style w:type="paragraph" w:styleId="TOC3">
    <w:name w:val="toc 3"/>
    <w:basedOn w:val="Normal"/>
    <w:next w:val="Normal"/>
    <w:autoRedefine/>
    <w:uiPriority w:val="99"/>
    <w:semiHidden/>
    <w:rsid w:val="009B0194"/>
    <w:pPr>
      <w:spacing w:after="60"/>
      <w:ind w:left="1020" w:right="340" w:hanging="340"/>
    </w:pPr>
  </w:style>
  <w:style w:type="paragraph" w:styleId="TOC4">
    <w:name w:val="toc 4"/>
    <w:basedOn w:val="Normal"/>
    <w:next w:val="Normal"/>
    <w:autoRedefine/>
    <w:uiPriority w:val="99"/>
    <w:semiHidden/>
    <w:rsid w:val="009B0194"/>
    <w:pPr>
      <w:tabs>
        <w:tab w:val="right" w:leader="dot" w:pos="9017"/>
      </w:tabs>
      <w:spacing w:after="60"/>
      <w:ind w:left="1361" w:right="340" w:hanging="340"/>
    </w:pPr>
  </w:style>
  <w:style w:type="paragraph" w:styleId="TOC5">
    <w:name w:val="toc 5"/>
    <w:basedOn w:val="Normal"/>
    <w:next w:val="Normal"/>
    <w:autoRedefine/>
    <w:uiPriority w:val="99"/>
    <w:semiHidden/>
    <w:rsid w:val="009B0194"/>
    <w:pPr>
      <w:spacing w:after="60"/>
      <w:ind w:left="1701" w:right="340" w:hanging="340"/>
    </w:pPr>
  </w:style>
  <w:style w:type="paragraph" w:styleId="TOC6">
    <w:name w:val="toc 6"/>
    <w:basedOn w:val="Normal"/>
    <w:next w:val="Normal"/>
    <w:autoRedefine/>
    <w:uiPriority w:val="99"/>
    <w:semiHidden/>
    <w:rsid w:val="00171962"/>
    <w:pPr>
      <w:spacing w:after="100"/>
      <w:ind w:left="1200"/>
    </w:pPr>
  </w:style>
  <w:style w:type="paragraph" w:styleId="TOC7">
    <w:name w:val="toc 7"/>
    <w:basedOn w:val="Normal"/>
    <w:next w:val="Normal"/>
    <w:autoRedefine/>
    <w:uiPriority w:val="99"/>
    <w:semiHidden/>
    <w:rsid w:val="00171962"/>
    <w:pPr>
      <w:spacing w:after="100"/>
      <w:ind w:left="1440"/>
    </w:pPr>
  </w:style>
  <w:style w:type="paragraph" w:styleId="TOC8">
    <w:name w:val="toc 8"/>
    <w:basedOn w:val="Normal"/>
    <w:next w:val="Normal"/>
    <w:autoRedefine/>
    <w:uiPriority w:val="99"/>
    <w:semiHidden/>
    <w:rsid w:val="00171962"/>
    <w:pPr>
      <w:spacing w:after="100"/>
      <w:ind w:left="1680"/>
    </w:pPr>
  </w:style>
  <w:style w:type="paragraph" w:styleId="TOC9">
    <w:name w:val="toc 9"/>
    <w:basedOn w:val="Normal"/>
    <w:next w:val="Normal"/>
    <w:autoRedefine/>
    <w:uiPriority w:val="99"/>
    <w:semiHidden/>
    <w:rsid w:val="00171962"/>
    <w:pPr>
      <w:spacing w:after="100"/>
      <w:ind w:left="1920"/>
    </w:pPr>
  </w:style>
  <w:style w:type="paragraph" w:customStyle="1" w:styleId="ECHRTitleCentre1">
    <w:name w:val="ECHR_Title_Centre_1"/>
    <w:aliases w:val="Opi_H_Head"/>
    <w:basedOn w:val="Normal"/>
    <w:next w:val="OpiPara"/>
    <w:uiPriority w:val="39"/>
    <w:qFormat/>
    <w:rsid w:val="009B0194"/>
    <w:pPr>
      <w:keepNext/>
      <w:keepLines/>
      <w:spacing w:after="240"/>
      <w:jc w:val="center"/>
      <w:outlineLvl w:val="0"/>
    </w:pPr>
    <w:rPr>
      <w:rFonts w:asciiTheme="majorHAnsi" w:hAnsiTheme="majorHAnsi"/>
      <w:sz w:val="28"/>
      <w:lang w:val="fr-FR" w:eastAsia="fr-FR"/>
    </w:rPr>
  </w:style>
  <w:style w:type="character" w:customStyle="1" w:styleId="JuITMark">
    <w:name w:val="Ju_ITMark"/>
    <w:basedOn w:val="DefaultParagraphFont"/>
    <w:uiPriority w:val="38"/>
    <w:qFormat/>
    <w:rsid w:val="009B0194"/>
    <w:rPr>
      <w:vanish w:val="0"/>
      <w:color w:val="auto"/>
      <w:sz w:val="14"/>
    </w:rPr>
  </w:style>
  <w:style w:type="paragraph" w:customStyle="1" w:styleId="JuInitialled">
    <w:name w:val="Ju_Initialled"/>
    <w:basedOn w:val="Normal"/>
    <w:uiPriority w:val="31"/>
    <w:qFormat/>
    <w:rsid w:val="009B0194"/>
    <w:pPr>
      <w:tabs>
        <w:tab w:val="center" w:pos="6407"/>
      </w:tabs>
      <w:spacing w:before="720"/>
      <w:jc w:val="right"/>
    </w:pPr>
    <w:rPr>
      <w:lang w:val="fr-FR" w:eastAsia="fr-FR"/>
    </w:rPr>
  </w:style>
  <w:style w:type="paragraph" w:customStyle="1" w:styleId="OpiTranslation">
    <w:name w:val="Opi_Translation"/>
    <w:basedOn w:val="Normal"/>
    <w:next w:val="OpiPara"/>
    <w:uiPriority w:val="40"/>
    <w:qFormat/>
    <w:rsid w:val="009B0194"/>
    <w:pPr>
      <w:jc w:val="center"/>
      <w:outlineLvl w:val="0"/>
    </w:pPr>
    <w:rPr>
      <w:i/>
      <w:lang w:val="fr-FR" w:eastAsia="fr-FR"/>
    </w:rPr>
  </w:style>
  <w:style w:type="paragraph" w:customStyle="1" w:styleId="DecHTitle">
    <w:name w:val="Dec_H_Title"/>
    <w:basedOn w:val="ECHRTitleCentre1"/>
    <w:uiPriority w:val="7"/>
    <w:rsid w:val="009B0194"/>
  </w:style>
  <w:style w:type="paragraph" w:customStyle="1" w:styleId="JuCourt">
    <w:name w:val="Ju_Court"/>
    <w:basedOn w:val="Normal"/>
    <w:next w:val="Normal"/>
    <w:uiPriority w:val="16"/>
    <w:qFormat/>
    <w:rsid w:val="009B0194"/>
    <w:pPr>
      <w:tabs>
        <w:tab w:val="left" w:pos="907"/>
        <w:tab w:val="left" w:pos="1701"/>
        <w:tab w:val="right" w:pos="7371"/>
      </w:tabs>
      <w:spacing w:before="240"/>
      <w:ind w:left="397" w:hanging="397"/>
      <w:jc w:val="left"/>
    </w:pPr>
    <w:rPr>
      <w:lang w:val="fr-FR" w:eastAsia="fr-FR" w:bidi="en-US"/>
    </w:rPr>
  </w:style>
  <w:style w:type="paragraph" w:customStyle="1" w:styleId="DecList">
    <w:name w:val="Dec_List"/>
    <w:basedOn w:val="Normal"/>
    <w:uiPriority w:val="9"/>
    <w:rsid w:val="009B0194"/>
    <w:pPr>
      <w:spacing w:before="240"/>
      <w:ind w:left="284"/>
    </w:pPr>
  </w:style>
  <w:style w:type="paragraph" w:customStyle="1" w:styleId="ECHRHeading3">
    <w:name w:val="ECHR_Heading_3"/>
    <w:aliases w:val="Ju_H_1."/>
    <w:basedOn w:val="Heading3"/>
    <w:next w:val="ECHRPara"/>
    <w:uiPriority w:val="21"/>
    <w:qFormat/>
    <w:rsid w:val="009B0194"/>
    <w:pPr>
      <w:keepNext/>
      <w:keepLines/>
      <w:tabs>
        <w:tab w:val="left" w:pos="731"/>
      </w:tabs>
      <w:spacing w:before="240" w:after="120" w:line="240" w:lineRule="auto"/>
      <w:ind w:left="732" w:hanging="301"/>
    </w:pPr>
    <w:rPr>
      <w:b w:val="0"/>
      <w:i/>
      <w:color w:val="auto"/>
      <w:lang w:val="fr-FR" w:eastAsia="fr-FR"/>
    </w:rPr>
  </w:style>
  <w:style w:type="paragraph" w:customStyle="1" w:styleId="ECHRHeading4">
    <w:name w:val="ECHR_Heading_4"/>
    <w:aliases w:val="Ju_H_a"/>
    <w:basedOn w:val="Heading4"/>
    <w:next w:val="ECHRPara"/>
    <w:uiPriority w:val="22"/>
    <w:qFormat/>
    <w:rsid w:val="009B0194"/>
    <w:pPr>
      <w:keepNext/>
      <w:keepLines/>
      <w:tabs>
        <w:tab w:val="left" w:pos="975"/>
      </w:tabs>
      <w:spacing w:before="240" w:after="120"/>
      <w:ind w:left="975" w:hanging="340"/>
    </w:pPr>
    <w:rPr>
      <w:i w:val="0"/>
      <w:color w:val="auto"/>
      <w:sz w:val="20"/>
      <w:lang w:val="fr-FR" w:eastAsia="fr-FR"/>
    </w:rPr>
  </w:style>
  <w:style w:type="paragraph" w:customStyle="1" w:styleId="ECHRHeading5">
    <w:name w:val="ECHR_Heading_5"/>
    <w:aliases w:val="Ju_H_i"/>
    <w:basedOn w:val="Heading5"/>
    <w:next w:val="ECHRPara"/>
    <w:uiPriority w:val="23"/>
    <w:qFormat/>
    <w:rsid w:val="009B0194"/>
    <w:pPr>
      <w:keepNext/>
      <w:keepLines/>
      <w:tabs>
        <w:tab w:val="left" w:pos="1191"/>
      </w:tabs>
      <w:spacing w:before="240" w:after="120"/>
      <w:ind w:left="1190" w:hanging="357"/>
    </w:pPr>
    <w:rPr>
      <w:b w:val="0"/>
      <w:i/>
      <w:color w:val="auto"/>
      <w:sz w:val="20"/>
    </w:rPr>
  </w:style>
  <w:style w:type="paragraph" w:customStyle="1" w:styleId="ECHRHeading6">
    <w:name w:val="ECHR_Heading_6"/>
    <w:aliases w:val="Ju_H_alpha"/>
    <w:basedOn w:val="Heading6"/>
    <w:next w:val="ECHRPara"/>
    <w:uiPriority w:val="24"/>
    <w:qFormat/>
    <w:rsid w:val="009B0194"/>
    <w:pPr>
      <w:keepNext/>
      <w:keepLines/>
      <w:tabs>
        <w:tab w:val="left" w:pos="1372"/>
      </w:tabs>
      <w:spacing w:before="240" w:after="120" w:line="240" w:lineRule="auto"/>
      <w:ind w:left="1373" w:hanging="335"/>
    </w:pPr>
    <w:rPr>
      <w:b w:val="0"/>
      <w:color w:val="auto"/>
      <w:sz w:val="20"/>
      <w:lang w:val="fr-FR" w:eastAsia="fr-FR"/>
    </w:rPr>
  </w:style>
  <w:style w:type="paragraph" w:customStyle="1" w:styleId="ECHRHeading7">
    <w:name w:val="ECHR_Heading_7"/>
    <w:aliases w:val="Ju_H_–"/>
    <w:basedOn w:val="Heading7"/>
    <w:next w:val="ECHRPara"/>
    <w:uiPriority w:val="25"/>
    <w:qFormat/>
    <w:rsid w:val="009B0194"/>
    <w:pPr>
      <w:keepNext/>
      <w:keepLines/>
      <w:spacing w:before="240" w:after="120"/>
      <w:ind w:left="1236"/>
    </w:pPr>
    <w:rPr>
      <w:sz w:val="20"/>
    </w:rPr>
  </w:style>
  <w:style w:type="paragraph" w:customStyle="1" w:styleId="OpiH1">
    <w:name w:val="Opi_H_1"/>
    <w:basedOn w:val="ECHRHeading2"/>
    <w:uiPriority w:val="42"/>
    <w:qFormat/>
    <w:rsid w:val="009B0194"/>
    <w:pPr>
      <w:ind w:left="635" w:hanging="357"/>
      <w:outlineLvl w:val="2"/>
    </w:pPr>
  </w:style>
  <w:style w:type="paragraph" w:customStyle="1" w:styleId="OpiHa0">
    <w:name w:val="Opi_H_a"/>
    <w:basedOn w:val="ECHRHeading3"/>
    <w:uiPriority w:val="43"/>
    <w:qFormat/>
    <w:rsid w:val="009B0194"/>
    <w:pPr>
      <w:ind w:left="833" w:hanging="357"/>
      <w:outlineLvl w:val="3"/>
    </w:pPr>
    <w:rPr>
      <w:b/>
      <w:i w:val="0"/>
      <w:sz w:val="20"/>
    </w:rPr>
  </w:style>
  <w:style w:type="paragraph" w:customStyle="1" w:styleId="OpiHi">
    <w:name w:val="Opi_H_i"/>
    <w:basedOn w:val="ECHRHeading4"/>
    <w:uiPriority w:val="44"/>
    <w:qFormat/>
    <w:rsid w:val="009B0194"/>
    <w:pPr>
      <w:ind w:left="1037" w:hanging="357"/>
      <w:outlineLvl w:val="4"/>
    </w:pPr>
    <w:rPr>
      <w:b w:val="0"/>
      <w:i/>
    </w:rPr>
  </w:style>
  <w:style w:type="paragraph" w:customStyle="1" w:styleId="DummyStyle">
    <w:name w:val="Dummy_Style"/>
    <w:basedOn w:val="Normal"/>
    <w:semiHidden/>
    <w:qFormat/>
    <w:rsid w:val="009B0194"/>
    <w:rPr>
      <w:color w:val="00B050"/>
      <w:lang w:val="fr-FR" w:eastAsia="fr-FR"/>
    </w:rPr>
  </w:style>
  <w:style w:type="table" w:customStyle="1" w:styleId="ECHRListTable">
    <w:name w:val="ECHR_List_Table"/>
    <w:basedOn w:val="TableNormal"/>
    <w:uiPriority w:val="99"/>
    <w:rsid w:val="009B0194"/>
    <w:rPr>
      <w:lang w:val="en-US" w:eastAsia="en-US"/>
    </w:rPr>
    <w:tblPr>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Revision">
    <w:name w:val="Revision"/>
    <w:hidden/>
    <w:uiPriority w:val="99"/>
    <w:semiHidden/>
    <w:rsid w:val="001A5E09"/>
    <w:rPr>
      <w:rFonts w:eastAsiaTheme="minorEastAsia"/>
      <w:sz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fr-FR" w:bidi="ar-SA"/>
      </w:rPr>
    </w:rPrDefault>
    <w:pPrDefault/>
  </w:docDefaults>
  <w:latentStyles w:defLockedState="0" w:defUIPriority="99" w:defSemiHidden="0" w:defUnhideWhenUsed="0" w:defQFormat="0" w:count="267">
    <w:lsdException w:name="Normal" w:uiPriority="0"/>
    <w:lsdException w:name="heading 5" w:qFormat="1"/>
    <w:lsdException w:name="heading 7" w:qFormat="1"/>
    <w:lsdException w:name="heading 8" w:qFormat="1"/>
    <w:lsdException w:name="heading 9" w:qFormat="1"/>
    <w:lsdException w:name="annotation text" w:uiPriority="0"/>
    <w:lsdException w:name="header" w:uiPriority="57"/>
    <w:lsdException w:name="footer" w:uiPriority="57"/>
    <w:lsdException w:name="caption" w:semiHidden="1" w:qFormat="1"/>
    <w:lsdException w:name="annotation reference" w:uiPriority="0"/>
    <w:lsdException w:name="Title" w:qFormat="1"/>
    <w:lsdException w:name="Default Paragraph Font" w:uiPriority="1"/>
    <w:lsdException w:name="Subtitle" w:qFormat="1"/>
    <w:lsdException w:name="Strong" w:qFormat="1"/>
    <w:lsdException w:name="Emphasis" w:qFormat="1"/>
    <w:lsdException w:name="HTML Top of Form" w:uiPriority="0"/>
    <w:lsdException w:name="HTML Bottom of Form" w:uiPriority="0"/>
    <w:lsdException w:name="Table Grid" w:uiPriority="59"/>
    <w:lsdException w:name="Placeholder Text" w:semiHidden="1"/>
    <w:lsdException w:name="No Spacing" w:uiPriority="0" w:qFormat="1"/>
    <w:lsdException w:name="Revision" w:semiHidden="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atentStyles>
  <w:style w:type="paragraph" w:default="1" w:styleId="Normal">
    <w:name w:val="Normal"/>
    <w:semiHidden/>
    <w:rsid w:val="009B0194"/>
    <w:pPr>
      <w:jc w:val="both"/>
    </w:pPr>
    <w:rPr>
      <w:rFonts w:eastAsiaTheme="minorEastAsia"/>
      <w:sz w:val="24"/>
      <w:lang w:val="en-US" w:eastAsia="en-US"/>
    </w:rPr>
  </w:style>
  <w:style w:type="paragraph" w:styleId="Heading1">
    <w:name w:val="heading 1"/>
    <w:basedOn w:val="Normal"/>
    <w:next w:val="Normal"/>
    <w:link w:val="Heading1Char"/>
    <w:uiPriority w:val="99"/>
    <w:semiHidden/>
    <w:rsid w:val="009B0194"/>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9B0194"/>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9B0194"/>
    <w:p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9B0194"/>
    <w:p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9B0194"/>
    <w:pPr>
      <w:spacing w:before="200"/>
      <w:outlineLvl w:val="4"/>
    </w:pPr>
    <w:rPr>
      <w:rFonts w:asciiTheme="majorHAnsi" w:eastAsiaTheme="majorEastAsia" w:hAnsiTheme="majorHAnsi" w:cstheme="majorBidi"/>
      <w:b/>
      <w:bCs/>
      <w:color w:val="808080"/>
      <w:sz w:val="22"/>
      <w:lang w:val="fr-FR" w:eastAsia="fr-FR"/>
    </w:rPr>
  </w:style>
  <w:style w:type="paragraph" w:styleId="Heading6">
    <w:name w:val="heading 6"/>
    <w:basedOn w:val="Normal"/>
    <w:next w:val="Normal"/>
    <w:link w:val="Heading6Char"/>
    <w:uiPriority w:val="99"/>
    <w:semiHidden/>
    <w:rsid w:val="009B0194"/>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9"/>
    <w:semiHidden/>
    <w:qFormat/>
    <w:rsid w:val="009B0194"/>
    <w:pPr>
      <w:outlineLvl w:val="6"/>
    </w:pPr>
    <w:rPr>
      <w:rFonts w:asciiTheme="majorHAnsi" w:eastAsiaTheme="majorEastAsia" w:hAnsiTheme="majorHAnsi" w:cstheme="majorBidi"/>
      <w:i/>
      <w:iCs/>
      <w:sz w:val="22"/>
      <w:lang w:val="fr-FR" w:eastAsia="fr-FR" w:bidi="en-US"/>
    </w:rPr>
  </w:style>
  <w:style w:type="paragraph" w:styleId="Heading8">
    <w:name w:val="heading 8"/>
    <w:basedOn w:val="Normal"/>
    <w:next w:val="Normal"/>
    <w:link w:val="Heading8Char"/>
    <w:uiPriority w:val="99"/>
    <w:semiHidden/>
    <w:qFormat/>
    <w:rsid w:val="009B0194"/>
    <w:pPr>
      <w:outlineLvl w:val="7"/>
    </w:pPr>
    <w:rPr>
      <w:rFonts w:asciiTheme="majorHAnsi" w:eastAsiaTheme="majorEastAsia" w:hAnsiTheme="majorHAnsi" w:cstheme="majorBidi"/>
      <w:sz w:val="20"/>
      <w:szCs w:val="20"/>
      <w:lang w:val="fr-FR" w:eastAsia="fr-FR" w:bidi="en-US"/>
    </w:rPr>
  </w:style>
  <w:style w:type="paragraph" w:styleId="Heading9">
    <w:name w:val="heading 9"/>
    <w:basedOn w:val="Normal"/>
    <w:next w:val="Normal"/>
    <w:link w:val="Heading9Char"/>
    <w:uiPriority w:val="99"/>
    <w:semiHidden/>
    <w:qFormat/>
    <w:rsid w:val="009B0194"/>
    <w:pPr>
      <w:outlineLvl w:val="8"/>
    </w:pPr>
    <w:rPr>
      <w:rFonts w:asciiTheme="majorHAnsi" w:eastAsiaTheme="majorEastAsia" w:hAnsiTheme="majorHAnsi" w:cstheme="majorBidi"/>
      <w:i/>
      <w:iCs/>
      <w:spacing w:val="5"/>
      <w:sz w:val="20"/>
      <w:szCs w:val="20"/>
      <w:lang w:val="fr-FR" w:eastAsia="fr-FR"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HRHeading1">
    <w:name w:val="ECHR_Heading_1"/>
    <w:aliases w:val="Ju_H_I_Roman"/>
    <w:basedOn w:val="Heading1"/>
    <w:next w:val="ECHRPara"/>
    <w:uiPriority w:val="19"/>
    <w:qFormat/>
    <w:rsid w:val="009B0194"/>
    <w:pPr>
      <w:keepNext/>
      <w:keepLines/>
      <w:tabs>
        <w:tab w:val="left" w:pos="357"/>
      </w:tabs>
      <w:spacing w:before="360" w:after="240"/>
      <w:ind w:left="357" w:hanging="357"/>
      <w:contextualSpacing w:val="0"/>
    </w:pPr>
    <w:rPr>
      <w:b w:val="0"/>
      <w:color w:val="auto"/>
      <w:sz w:val="24"/>
      <w:lang w:val="fr-FR" w:eastAsia="fr-FR"/>
    </w:rPr>
  </w:style>
  <w:style w:type="paragraph" w:customStyle="1" w:styleId="ECHRTitle1">
    <w:name w:val="ECHR_Title_1"/>
    <w:aliases w:val="Ju_H_Head"/>
    <w:basedOn w:val="Normal"/>
    <w:next w:val="ECHRPara"/>
    <w:uiPriority w:val="18"/>
    <w:qFormat/>
    <w:rsid w:val="009B0194"/>
    <w:pPr>
      <w:keepNext/>
      <w:keepLines/>
      <w:spacing w:before="720" w:after="240"/>
      <w:outlineLvl w:val="0"/>
    </w:pPr>
    <w:rPr>
      <w:rFonts w:asciiTheme="majorHAnsi" w:hAnsiTheme="majorHAnsi"/>
      <w:sz w:val="28"/>
      <w:lang w:val="fr-FR" w:eastAsia="fr-FR"/>
    </w:rPr>
  </w:style>
  <w:style w:type="paragraph" w:customStyle="1" w:styleId="ECHRPara">
    <w:name w:val="ECHR_Para"/>
    <w:aliases w:val="Ju_Para"/>
    <w:basedOn w:val="Normal"/>
    <w:link w:val="ECHRParaChar"/>
    <w:uiPriority w:val="12"/>
    <w:qFormat/>
    <w:rsid w:val="009B0194"/>
    <w:pPr>
      <w:ind w:firstLine="284"/>
    </w:pPr>
    <w:rPr>
      <w:lang w:val="fr-FR" w:eastAsia="fr-FR"/>
    </w:rPr>
  </w:style>
  <w:style w:type="character" w:customStyle="1" w:styleId="ECHRParaChar">
    <w:name w:val="ECHR_Para Char"/>
    <w:aliases w:val="Ju_Para Char"/>
    <w:link w:val="ECHRPara"/>
    <w:uiPriority w:val="12"/>
    <w:rsid w:val="00B921A8"/>
    <w:rPr>
      <w:rFonts w:eastAsiaTheme="minorEastAsia"/>
      <w:sz w:val="24"/>
    </w:rPr>
  </w:style>
  <w:style w:type="paragraph" w:styleId="Footer">
    <w:name w:val="footer"/>
    <w:basedOn w:val="Normal"/>
    <w:link w:val="FooterChar"/>
    <w:uiPriority w:val="57"/>
    <w:semiHidden/>
    <w:rsid w:val="009B0194"/>
    <w:pPr>
      <w:tabs>
        <w:tab w:val="center" w:pos="4536"/>
        <w:tab w:val="right" w:pos="9696"/>
      </w:tabs>
      <w:ind w:left="-680" w:right="-680"/>
    </w:pPr>
    <w:rPr>
      <w:rFonts w:eastAsiaTheme="minorHAnsi"/>
    </w:rPr>
  </w:style>
  <w:style w:type="paragraph" w:customStyle="1" w:styleId="ECHRDecisionBody">
    <w:name w:val="ECHR_Decision_Body"/>
    <w:aliases w:val="Ju_Judges"/>
    <w:basedOn w:val="Normal"/>
    <w:link w:val="JuJudgesChar"/>
    <w:uiPriority w:val="11"/>
    <w:qFormat/>
    <w:rsid w:val="009B0194"/>
    <w:pPr>
      <w:tabs>
        <w:tab w:val="left" w:pos="567"/>
        <w:tab w:val="left" w:pos="1134"/>
      </w:tabs>
      <w:jc w:val="left"/>
    </w:pPr>
    <w:rPr>
      <w:lang w:val="fr-FR" w:eastAsia="fr-FR"/>
    </w:rPr>
  </w:style>
  <w:style w:type="character" w:customStyle="1" w:styleId="JuJudgesChar">
    <w:name w:val="Ju_Judges Char"/>
    <w:link w:val="ECHRDecisionBody"/>
    <w:uiPriority w:val="11"/>
    <w:locked/>
    <w:rsid w:val="00D15473"/>
    <w:rPr>
      <w:rFonts w:eastAsiaTheme="minorEastAsia"/>
      <w:sz w:val="24"/>
    </w:rPr>
  </w:style>
  <w:style w:type="paragraph" w:customStyle="1" w:styleId="ECHRHeading2">
    <w:name w:val="ECHR_Heading_2"/>
    <w:aliases w:val="Ju_H_A"/>
    <w:basedOn w:val="Heading2"/>
    <w:next w:val="ECHRPara"/>
    <w:uiPriority w:val="20"/>
    <w:qFormat/>
    <w:rsid w:val="009B0194"/>
    <w:pPr>
      <w:keepNext/>
      <w:keepLines/>
      <w:tabs>
        <w:tab w:val="left" w:pos="584"/>
      </w:tabs>
      <w:spacing w:before="360" w:after="240"/>
      <w:ind w:left="584" w:hanging="352"/>
    </w:pPr>
    <w:rPr>
      <w:color w:val="auto"/>
      <w:sz w:val="24"/>
      <w:lang w:val="fr-FR" w:eastAsia="fr-FR"/>
    </w:rPr>
  </w:style>
  <w:style w:type="paragraph" w:customStyle="1" w:styleId="ECHRParaQuote">
    <w:name w:val="ECHR_Para_Quote"/>
    <w:aliases w:val="Ju_Quot"/>
    <w:basedOn w:val="Normal"/>
    <w:uiPriority w:val="14"/>
    <w:qFormat/>
    <w:rsid w:val="009B0194"/>
    <w:pPr>
      <w:spacing w:before="120" w:after="120"/>
      <w:ind w:left="425" w:firstLine="142"/>
    </w:pPr>
    <w:rPr>
      <w:sz w:val="20"/>
      <w:lang w:val="fr-FR" w:eastAsia="fr-FR"/>
    </w:rPr>
  </w:style>
  <w:style w:type="paragraph" w:customStyle="1" w:styleId="JuSigned">
    <w:name w:val="Ju_Signed"/>
    <w:basedOn w:val="Normal"/>
    <w:next w:val="JuParaLast"/>
    <w:link w:val="JuSignedChar"/>
    <w:uiPriority w:val="32"/>
    <w:qFormat/>
    <w:rsid w:val="009B0194"/>
    <w:pPr>
      <w:tabs>
        <w:tab w:val="center" w:pos="851"/>
        <w:tab w:val="center" w:pos="6407"/>
      </w:tabs>
      <w:spacing w:before="720"/>
      <w:jc w:val="left"/>
    </w:pPr>
    <w:rPr>
      <w:lang w:val="fr-FR" w:eastAsia="fr-FR"/>
    </w:rPr>
  </w:style>
  <w:style w:type="paragraph" w:customStyle="1" w:styleId="JuParaLast">
    <w:name w:val="Ju_Para_Last"/>
    <w:basedOn w:val="Normal"/>
    <w:next w:val="ECHRPara"/>
    <w:uiPriority w:val="30"/>
    <w:qFormat/>
    <w:rsid w:val="009B0194"/>
    <w:pPr>
      <w:keepNext/>
      <w:keepLines/>
      <w:spacing w:before="240"/>
      <w:ind w:firstLine="284"/>
    </w:pPr>
    <w:rPr>
      <w:lang w:val="fr-FR" w:eastAsia="fr-FR"/>
    </w:rPr>
  </w:style>
  <w:style w:type="character" w:customStyle="1" w:styleId="JuSignedChar">
    <w:name w:val="Ju_Signed Char"/>
    <w:link w:val="JuSigned"/>
    <w:uiPriority w:val="32"/>
    <w:rsid w:val="000726F6"/>
    <w:rPr>
      <w:rFonts w:eastAsiaTheme="minorEastAsia"/>
      <w:sz w:val="24"/>
    </w:rPr>
  </w:style>
  <w:style w:type="paragraph" w:customStyle="1" w:styleId="JuCase">
    <w:name w:val="Ju_Case"/>
    <w:basedOn w:val="Normal"/>
    <w:next w:val="ECHRPara"/>
    <w:link w:val="JuCaseChar"/>
    <w:uiPriority w:val="10"/>
    <w:rsid w:val="009B0194"/>
    <w:pPr>
      <w:ind w:firstLine="284"/>
    </w:pPr>
    <w:rPr>
      <w:b/>
    </w:rPr>
  </w:style>
  <w:style w:type="character" w:customStyle="1" w:styleId="JuCaseChar">
    <w:name w:val="Ju_Case Char"/>
    <w:link w:val="JuCase"/>
    <w:uiPriority w:val="10"/>
    <w:rsid w:val="00B921A8"/>
    <w:rPr>
      <w:rFonts w:eastAsiaTheme="minorEastAsia"/>
      <w:b/>
      <w:sz w:val="24"/>
      <w:lang w:val="en-US" w:eastAsia="en-US"/>
    </w:rPr>
  </w:style>
  <w:style w:type="paragraph" w:customStyle="1" w:styleId="JuList">
    <w:name w:val="Ju_List"/>
    <w:basedOn w:val="Normal"/>
    <w:link w:val="JuListChar"/>
    <w:uiPriority w:val="28"/>
    <w:qFormat/>
    <w:rsid w:val="009B0194"/>
    <w:pPr>
      <w:ind w:left="340" w:hanging="340"/>
    </w:pPr>
    <w:rPr>
      <w:lang w:val="fr-FR" w:eastAsia="fr-FR"/>
    </w:rPr>
  </w:style>
  <w:style w:type="character" w:customStyle="1" w:styleId="JuListChar">
    <w:name w:val="Ju_List Char"/>
    <w:link w:val="JuList"/>
    <w:uiPriority w:val="28"/>
    <w:rsid w:val="00930CD7"/>
    <w:rPr>
      <w:rFonts w:eastAsiaTheme="minorEastAsia"/>
      <w:sz w:val="24"/>
    </w:rPr>
  </w:style>
  <w:style w:type="paragraph" w:customStyle="1" w:styleId="JuAppQuestion">
    <w:name w:val="Ju_App_Question"/>
    <w:basedOn w:val="Normal"/>
    <w:uiPriority w:val="5"/>
    <w:rsid w:val="009B0194"/>
    <w:pPr>
      <w:numPr>
        <w:numId w:val="14"/>
      </w:numPr>
      <w:jc w:val="left"/>
    </w:pPr>
    <w:rPr>
      <w:b/>
    </w:rPr>
  </w:style>
  <w:style w:type="paragraph" w:styleId="FootnoteText">
    <w:name w:val="footnote text"/>
    <w:basedOn w:val="Normal"/>
    <w:link w:val="FootnoteTextChar"/>
    <w:uiPriority w:val="99"/>
    <w:semiHidden/>
    <w:rsid w:val="009B0194"/>
    <w:rPr>
      <w:sz w:val="20"/>
      <w:szCs w:val="20"/>
    </w:rPr>
  </w:style>
  <w:style w:type="character" w:styleId="FootnoteReference">
    <w:name w:val="footnote reference"/>
    <w:basedOn w:val="DefaultParagraphFont"/>
    <w:uiPriority w:val="99"/>
    <w:semiHidden/>
    <w:rsid w:val="009B0194"/>
    <w:rPr>
      <w:vertAlign w:val="superscript"/>
    </w:rPr>
  </w:style>
  <w:style w:type="paragraph" w:styleId="Header">
    <w:name w:val="header"/>
    <w:basedOn w:val="Normal"/>
    <w:link w:val="HeaderChar"/>
    <w:uiPriority w:val="57"/>
    <w:semiHidden/>
    <w:rsid w:val="009B0194"/>
    <w:pPr>
      <w:tabs>
        <w:tab w:val="center" w:pos="4536"/>
        <w:tab w:val="right" w:pos="9072"/>
      </w:tabs>
    </w:pPr>
    <w:rPr>
      <w:rFonts w:eastAsiaTheme="minorHAnsi"/>
    </w:rPr>
  </w:style>
  <w:style w:type="character" w:styleId="PageNumber">
    <w:name w:val="page number"/>
    <w:uiPriority w:val="99"/>
    <w:semiHidden/>
    <w:rsid w:val="00D1288A"/>
    <w:rPr>
      <w:sz w:val="18"/>
    </w:rPr>
  </w:style>
  <w:style w:type="paragraph" w:customStyle="1" w:styleId="JuLista">
    <w:name w:val="Ju_List_a"/>
    <w:basedOn w:val="JuList"/>
    <w:uiPriority w:val="28"/>
    <w:qFormat/>
    <w:rsid w:val="009B0194"/>
    <w:pPr>
      <w:ind w:left="346" w:firstLine="0"/>
    </w:pPr>
  </w:style>
  <w:style w:type="paragraph" w:customStyle="1" w:styleId="JuListi">
    <w:name w:val="Ju_List_i"/>
    <w:basedOn w:val="Normal"/>
    <w:next w:val="JuLista"/>
    <w:uiPriority w:val="28"/>
    <w:qFormat/>
    <w:rsid w:val="009B0194"/>
    <w:pPr>
      <w:ind w:left="794"/>
    </w:pPr>
    <w:rPr>
      <w:lang w:val="fr-FR" w:eastAsia="fr-FR"/>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alloonText">
    <w:name w:val="Balloon Text"/>
    <w:basedOn w:val="Normal"/>
    <w:link w:val="BalloonTextChar"/>
    <w:uiPriority w:val="99"/>
    <w:semiHidden/>
    <w:rsid w:val="009B0194"/>
    <w:rPr>
      <w:rFonts w:ascii="Tahoma" w:hAnsi="Tahoma" w:cs="Tahoma"/>
      <w:sz w:val="16"/>
      <w:szCs w:val="16"/>
    </w:rPr>
  </w:style>
  <w:style w:type="paragraph" w:styleId="CommentSubject">
    <w:name w:val="annotation subject"/>
    <w:basedOn w:val="CommentText"/>
    <w:next w:val="CommentText"/>
    <w:uiPriority w:val="99"/>
    <w:semiHidden/>
    <w:rsid w:val="00D353F4"/>
    <w:rPr>
      <w:b/>
      <w:bCs/>
    </w:rPr>
  </w:style>
  <w:style w:type="character" w:styleId="EndnoteReference">
    <w:name w:val="endnote reference"/>
    <w:uiPriority w:val="99"/>
    <w:semiHidden/>
    <w:rsid w:val="00D1288A"/>
    <w:rPr>
      <w:vertAlign w:val="superscript"/>
    </w:rPr>
  </w:style>
  <w:style w:type="paragraph" w:styleId="EndnoteText">
    <w:name w:val="endnote text"/>
    <w:basedOn w:val="Normal"/>
    <w:uiPriority w:val="99"/>
    <w:semiHidden/>
    <w:rsid w:val="00D1288A"/>
    <w:rPr>
      <w:sz w:val="20"/>
    </w:rPr>
  </w:style>
  <w:style w:type="character" w:styleId="FollowedHyperlink">
    <w:name w:val="FollowedHyperlink"/>
    <w:uiPriority w:val="99"/>
    <w:semiHidden/>
    <w:rsid w:val="00D1288A"/>
    <w:rPr>
      <w:color w:val="800080"/>
      <w:u w:val="single"/>
    </w:rPr>
  </w:style>
  <w:style w:type="character" w:styleId="Hyperlink">
    <w:name w:val="Hyperlink"/>
    <w:basedOn w:val="DefaultParagraphFont"/>
    <w:uiPriority w:val="99"/>
    <w:semiHidden/>
    <w:rsid w:val="009B0194"/>
    <w:rPr>
      <w:color w:val="0072BC" w:themeColor="hyperlink"/>
      <w:u w:val="single"/>
    </w:rPr>
  </w:style>
  <w:style w:type="character" w:styleId="Strong">
    <w:name w:val="Strong"/>
    <w:uiPriority w:val="99"/>
    <w:semiHidden/>
    <w:qFormat/>
    <w:rsid w:val="009B0194"/>
    <w:rPr>
      <w:b/>
      <w:bCs/>
    </w:rPr>
  </w:style>
  <w:style w:type="paragraph" w:styleId="DocumentMap">
    <w:name w:val="Document Map"/>
    <w:basedOn w:val="Normal"/>
    <w:uiPriority w:val="99"/>
    <w:semiHidden/>
    <w:rsid w:val="008824B9"/>
    <w:pPr>
      <w:shd w:val="clear" w:color="auto" w:fill="000080"/>
    </w:pPr>
    <w:rPr>
      <w:rFonts w:ascii="Tahoma" w:hAnsi="Tahoma" w:cs="Tahoma"/>
      <w:sz w:val="20"/>
    </w:rPr>
  </w:style>
  <w:style w:type="paragraph" w:customStyle="1" w:styleId="JuParaSub">
    <w:name w:val="Ju_Para_Sub"/>
    <w:basedOn w:val="ECHRPara"/>
    <w:uiPriority w:val="13"/>
    <w:qFormat/>
    <w:rsid w:val="009B0194"/>
    <w:pPr>
      <w:ind w:left="284"/>
    </w:pPr>
  </w:style>
  <w:style w:type="paragraph" w:styleId="ListBullet">
    <w:name w:val="List Bullet"/>
    <w:basedOn w:val="Normal"/>
    <w:uiPriority w:val="99"/>
    <w:semiHidden/>
    <w:rsid w:val="008824B9"/>
    <w:pPr>
      <w:numPr>
        <w:numId w:val="1"/>
      </w:numPr>
    </w:pPr>
  </w:style>
  <w:style w:type="paragraph" w:customStyle="1" w:styleId="OpiParaSub">
    <w:name w:val="Opi_Para_Sub"/>
    <w:basedOn w:val="JuParaSub"/>
    <w:uiPriority w:val="47"/>
    <w:qFormat/>
    <w:rsid w:val="009B0194"/>
  </w:style>
  <w:style w:type="character" w:customStyle="1" w:styleId="Heading1Char">
    <w:name w:val="Heading 1 Char"/>
    <w:basedOn w:val="DefaultParagraphFont"/>
    <w:link w:val="Heading1"/>
    <w:uiPriority w:val="99"/>
    <w:semiHidden/>
    <w:rsid w:val="009B0194"/>
    <w:rPr>
      <w:rFonts w:asciiTheme="majorHAnsi" w:eastAsiaTheme="majorEastAsia" w:hAnsiTheme="majorHAnsi" w:cstheme="majorBidi"/>
      <w:b/>
      <w:bCs/>
      <w:color w:val="333333"/>
      <w:sz w:val="28"/>
      <w:szCs w:val="28"/>
      <w:lang w:val="en-US" w:eastAsia="en-US"/>
    </w:rPr>
  </w:style>
  <w:style w:type="character" w:customStyle="1" w:styleId="Heading2Char">
    <w:name w:val="Heading 2 Char"/>
    <w:basedOn w:val="DefaultParagraphFont"/>
    <w:link w:val="Heading2"/>
    <w:uiPriority w:val="99"/>
    <w:semiHidden/>
    <w:rsid w:val="009B0194"/>
    <w:rPr>
      <w:rFonts w:asciiTheme="majorHAnsi" w:eastAsiaTheme="majorEastAsia" w:hAnsiTheme="majorHAnsi" w:cstheme="majorBidi"/>
      <w:b/>
      <w:bCs/>
      <w:color w:val="4D4D4D"/>
      <w:sz w:val="26"/>
      <w:szCs w:val="26"/>
      <w:lang w:val="en-US" w:eastAsia="en-US"/>
    </w:rPr>
  </w:style>
  <w:style w:type="character" w:customStyle="1" w:styleId="Heading3Char">
    <w:name w:val="Heading 3 Char"/>
    <w:basedOn w:val="DefaultParagraphFont"/>
    <w:link w:val="Heading3"/>
    <w:uiPriority w:val="99"/>
    <w:semiHidden/>
    <w:rsid w:val="009B0194"/>
    <w:rPr>
      <w:rFonts w:asciiTheme="majorHAnsi" w:eastAsiaTheme="majorEastAsia" w:hAnsiTheme="majorHAnsi" w:cstheme="majorBidi"/>
      <w:b/>
      <w:bCs/>
      <w:color w:val="5F5F5F"/>
      <w:sz w:val="24"/>
      <w:lang w:val="en-US" w:eastAsia="en-US"/>
    </w:rPr>
  </w:style>
  <w:style w:type="character" w:customStyle="1" w:styleId="Heading4Char">
    <w:name w:val="Heading 4 Char"/>
    <w:basedOn w:val="DefaultParagraphFont"/>
    <w:link w:val="Heading4"/>
    <w:uiPriority w:val="99"/>
    <w:semiHidden/>
    <w:rsid w:val="009B0194"/>
    <w:rPr>
      <w:rFonts w:asciiTheme="majorHAnsi" w:eastAsiaTheme="majorEastAsia" w:hAnsiTheme="majorHAnsi" w:cstheme="majorBidi"/>
      <w:b/>
      <w:bCs/>
      <w:i/>
      <w:iCs/>
      <w:color w:val="777777"/>
      <w:sz w:val="24"/>
      <w:lang w:val="en-US" w:eastAsia="en-US"/>
    </w:rPr>
  </w:style>
  <w:style w:type="character" w:customStyle="1" w:styleId="Heading6Char">
    <w:name w:val="Heading 6 Char"/>
    <w:basedOn w:val="DefaultParagraphFont"/>
    <w:link w:val="Heading6"/>
    <w:uiPriority w:val="99"/>
    <w:semiHidden/>
    <w:rsid w:val="009B0194"/>
    <w:rPr>
      <w:rFonts w:asciiTheme="majorHAnsi" w:eastAsiaTheme="majorEastAsia" w:hAnsiTheme="majorHAnsi" w:cstheme="majorBidi"/>
      <w:b/>
      <w:bCs/>
      <w:i/>
      <w:iCs/>
      <w:color w:val="7F7F7F" w:themeColor="text1" w:themeTint="80"/>
      <w:sz w:val="24"/>
      <w:lang w:val="en-US" w:eastAsia="en-US" w:bidi="en-US"/>
    </w:rPr>
  </w:style>
  <w:style w:type="character" w:customStyle="1" w:styleId="BalloonTextChar">
    <w:name w:val="Balloon Text Char"/>
    <w:basedOn w:val="DefaultParagraphFont"/>
    <w:link w:val="BalloonText"/>
    <w:uiPriority w:val="99"/>
    <w:semiHidden/>
    <w:rsid w:val="009B0194"/>
    <w:rPr>
      <w:rFonts w:ascii="Tahoma" w:eastAsiaTheme="minorEastAsia" w:hAnsi="Tahoma" w:cs="Tahoma"/>
      <w:sz w:val="16"/>
      <w:szCs w:val="16"/>
      <w:lang w:val="en-US" w:eastAsia="en-US"/>
    </w:rPr>
  </w:style>
  <w:style w:type="paragraph" w:customStyle="1" w:styleId="ECHRFooter">
    <w:name w:val="ECHR_Footer"/>
    <w:aliases w:val="Footer_ECHR"/>
    <w:basedOn w:val="Footer"/>
    <w:uiPriority w:val="57"/>
    <w:semiHidden/>
    <w:rsid w:val="009B0194"/>
    <w:pPr>
      <w:jc w:val="left"/>
    </w:pPr>
    <w:rPr>
      <w:sz w:val="8"/>
    </w:rPr>
  </w:style>
  <w:style w:type="paragraph" w:customStyle="1" w:styleId="ECHRFooterLine">
    <w:name w:val="ECHR_Footer_Line"/>
    <w:aliases w:val="Footer_Line"/>
    <w:basedOn w:val="Normal"/>
    <w:next w:val="ECHRFooter"/>
    <w:uiPriority w:val="57"/>
    <w:semiHidden/>
    <w:rsid w:val="009B0194"/>
    <w:pPr>
      <w:pBdr>
        <w:top w:val="single" w:sz="6" w:space="1" w:color="5F5F5F"/>
      </w:pBdr>
      <w:tabs>
        <w:tab w:val="center" w:pos="4536"/>
        <w:tab w:val="right" w:pos="9696"/>
      </w:tabs>
      <w:ind w:left="-680" w:right="-680"/>
      <w:jc w:val="left"/>
    </w:pPr>
    <w:rPr>
      <w:color w:val="5F5F5F"/>
    </w:rPr>
  </w:style>
  <w:style w:type="character" w:customStyle="1" w:styleId="HeaderChar">
    <w:name w:val="Header Char"/>
    <w:basedOn w:val="DefaultParagraphFont"/>
    <w:link w:val="Header"/>
    <w:uiPriority w:val="57"/>
    <w:semiHidden/>
    <w:rsid w:val="009B0194"/>
    <w:rPr>
      <w:sz w:val="24"/>
      <w:lang w:val="en-US" w:eastAsia="en-US"/>
    </w:rPr>
  </w:style>
  <w:style w:type="paragraph" w:customStyle="1" w:styleId="ECHRHeader">
    <w:name w:val="ECHR_Header"/>
    <w:aliases w:val="Ju_Header"/>
    <w:basedOn w:val="Header"/>
    <w:uiPriority w:val="4"/>
    <w:qFormat/>
    <w:rsid w:val="009B0194"/>
    <w:pPr>
      <w:tabs>
        <w:tab w:val="clear" w:pos="4536"/>
        <w:tab w:val="clear" w:pos="9072"/>
        <w:tab w:val="center" w:pos="3686"/>
        <w:tab w:val="right" w:pos="7371"/>
      </w:tabs>
      <w:jc w:val="left"/>
    </w:pPr>
    <w:rPr>
      <w:sz w:val="18"/>
      <w:lang w:val="fr-FR" w:eastAsia="fr-FR"/>
    </w:rPr>
  </w:style>
  <w:style w:type="character" w:customStyle="1" w:styleId="FooterChar">
    <w:name w:val="Footer Char"/>
    <w:basedOn w:val="DefaultParagraphFont"/>
    <w:link w:val="Footer"/>
    <w:uiPriority w:val="57"/>
    <w:semiHidden/>
    <w:rsid w:val="009B0194"/>
    <w:rPr>
      <w:sz w:val="24"/>
      <w:lang w:val="en-US" w:eastAsia="en-US"/>
    </w:rPr>
  </w:style>
  <w:style w:type="character" w:customStyle="1" w:styleId="FootnoteTextChar">
    <w:name w:val="Footnote Text Char"/>
    <w:basedOn w:val="DefaultParagraphFont"/>
    <w:link w:val="FootnoteText"/>
    <w:uiPriority w:val="99"/>
    <w:semiHidden/>
    <w:rsid w:val="009B0194"/>
    <w:rPr>
      <w:rFonts w:eastAsiaTheme="minorEastAsia"/>
      <w:sz w:val="20"/>
      <w:szCs w:val="20"/>
      <w:lang w:val="en-US" w:eastAsia="en-US"/>
    </w:rPr>
  </w:style>
  <w:style w:type="paragraph" w:customStyle="1" w:styleId="OpiQuot">
    <w:name w:val="Opi_Quot"/>
    <w:basedOn w:val="ECHRParaQuote"/>
    <w:uiPriority w:val="48"/>
    <w:qFormat/>
    <w:rsid w:val="009B0194"/>
  </w:style>
  <w:style w:type="paragraph" w:customStyle="1" w:styleId="OpiPara">
    <w:name w:val="Opi_Para"/>
    <w:basedOn w:val="ECHRPara"/>
    <w:uiPriority w:val="46"/>
    <w:qFormat/>
    <w:rsid w:val="009B0194"/>
  </w:style>
  <w:style w:type="paragraph" w:customStyle="1" w:styleId="OpiQuotSub">
    <w:name w:val="Opi_Quot_Sub"/>
    <w:basedOn w:val="JuQuotSub"/>
    <w:uiPriority w:val="49"/>
    <w:qFormat/>
    <w:rsid w:val="009B0194"/>
  </w:style>
  <w:style w:type="paragraph" w:customStyle="1" w:styleId="JuQuotSub">
    <w:name w:val="Ju_Quot_Sub"/>
    <w:basedOn w:val="ECHRParaQuote"/>
    <w:uiPriority w:val="15"/>
    <w:qFormat/>
    <w:rsid w:val="009B0194"/>
    <w:pPr>
      <w:ind w:left="567"/>
    </w:pPr>
  </w:style>
  <w:style w:type="paragraph" w:customStyle="1" w:styleId="OpiHA">
    <w:name w:val="Opi_H_A"/>
    <w:basedOn w:val="ECHRHeading1"/>
    <w:next w:val="OpiPara"/>
    <w:uiPriority w:val="41"/>
    <w:qFormat/>
    <w:rsid w:val="009B0194"/>
    <w:pPr>
      <w:tabs>
        <w:tab w:val="clear" w:pos="357"/>
      </w:tabs>
      <w:outlineLvl w:val="1"/>
    </w:pPr>
    <w:rPr>
      <w:b/>
    </w:rPr>
  </w:style>
  <w:style w:type="character" w:customStyle="1" w:styleId="JUNAMES">
    <w:name w:val="JU_NAMES"/>
    <w:uiPriority w:val="17"/>
    <w:qFormat/>
    <w:rsid w:val="009B0194"/>
    <w:rPr>
      <w:caps w:val="0"/>
      <w:smallCaps/>
    </w:rPr>
  </w:style>
  <w:style w:type="paragraph" w:customStyle="1" w:styleId="ECHRTitleCentre3">
    <w:name w:val="ECHR_Title_Centre_3"/>
    <w:aliases w:val="Ju_H_Article"/>
    <w:basedOn w:val="Normal"/>
    <w:next w:val="ECHRParaQuote"/>
    <w:uiPriority w:val="27"/>
    <w:qFormat/>
    <w:rsid w:val="009B0194"/>
    <w:pPr>
      <w:keepNext/>
      <w:keepLines/>
      <w:spacing w:before="240" w:after="120"/>
      <w:jc w:val="center"/>
      <w:outlineLvl w:val="3"/>
    </w:pPr>
    <w:rPr>
      <w:rFonts w:asciiTheme="majorHAnsi" w:hAnsiTheme="majorHAnsi"/>
      <w:b/>
      <w:sz w:val="20"/>
      <w:lang w:val="fr-FR" w:eastAsia="fr-FR" w:bidi="en-US"/>
    </w:rPr>
  </w:style>
  <w:style w:type="paragraph" w:customStyle="1" w:styleId="ECHRTitleCentre2">
    <w:name w:val="ECHR_Title_Centre_2"/>
    <w:aliases w:val="Dec_H_Case"/>
    <w:basedOn w:val="Normal"/>
    <w:next w:val="ECHRPara"/>
    <w:uiPriority w:val="8"/>
    <w:rsid w:val="009B0194"/>
    <w:pPr>
      <w:spacing w:after="240"/>
      <w:jc w:val="center"/>
      <w:outlineLvl w:val="0"/>
    </w:pPr>
    <w:rPr>
      <w:rFonts w:asciiTheme="majorHAnsi" w:hAnsiTheme="majorHAnsi"/>
    </w:rPr>
  </w:style>
  <w:style w:type="paragraph" w:customStyle="1" w:styleId="JuTitle">
    <w:name w:val="Ju_Title"/>
    <w:basedOn w:val="Normal"/>
    <w:next w:val="ECHRPara"/>
    <w:uiPriority w:val="3"/>
    <w:qFormat/>
    <w:rsid w:val="009B0194"/>
    <w:pPr>
      <w:spacing w:before="720" w:after="240"/>
      <w:jc w:val="center"/>
      <w:outlineLvl w:val="0"/>
    </w:pPr>
    <w:rPr>
      <w:rFonts w:asciiTheme="majorHAnsi" w:hAnsiTheme="majorHAnsi"/>
      <w:b/>
      <w:caps/>
    </w:rPr>
  </w:style>
  <w:style w:type="character" w:customStyle="1" w:styleId="Heading5Char">
    <w:name w:val="Heading 5 Char"/>
    <w:basedOn w:val="DefaultParagraphFont"/>
    <w:link w:val="Heading5"/>
    <w:uiPriority w:val="99"/>
    <w:semiHidden/>
    <w:rsid w:val="009B0194"/>
    <w:rPr>
      <w:rFonts w:asciiTheme="majorHAnsi" w:eastAsiaTheme="majorEastAsia" w:hAnsiTheme="majorHAnsi" w:cstheme="majorBidi"/>
      <w:b/>
      <w:bCs/>
      <w:color w:val="808080"/>
    </w:rPr>
  </w:style>
  <w:style w:type="character" w:customStyle="1" w:styleId="Heading7Char">
    <w:name w:val="Heading 7 Char"/>
    <w:basedOn w:val="DefaultParagraphFont"/>
    <w:link w:val="Heading7"/>
    <w:uiPriority w:val="99"/>
    <w:semiHidden/>
    <w:rsid w:val="009B0194"/>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9"/>
    <w:semiHidden/>
    <w:rsid w:val="009B0194"/>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9"/>
    <w:semiHidden/>
    <w:rsid w:val="009B0194"/>
    <w:rPr>
      <w:rFonts w:asciiTheme="majorHAnsi" w:eastAsiaTheme="majorEastAsia" w:hAnsiTheme="majorHAnsi" w:cstheme="majorBidi"/>
      <w:i/>
      <w:iCs/>
      <w:spacing w:val="5"/>
      <w:sz w:val="20"/>
      <w:szCs w:val="20"/>
      <w:lang w:bidi="en-US"/>
    </w:rPr>
  </w:style>
  <w:style w:type="paragraph" w:styleId="Title">
    <w:name w:val="Title"/>
    <w:basedOn w:val="Normal"/>
    <w:next w:val="Normal"/>
    <w:link w:val="TitleChar"/>
    <w:uiPriority w:val="99"/>
    <w:semiHidden/>
    <w:qFormat/>
    <w:rsid w:val="009B0194"/>
    <w:pPr>
      <w:pBdr>
        <w:bottom w:val="single" w:sz="4" w:space="1" w:color="auto"/>
      </w:pBdr>
      <w:contextualSpacing/>
    </w:pPr>
    <w:rPr>
      <w:rFonts w:asciiTheme="majorHAnsi" w:eastAsiaTheme="majorEastAsia" w:hAnsiTheme="majorHAnsi" w:cstheme="majorBidi"/>
      <w:spacing w:val="5"/>
      <w:sz w:val="52"/>
      <w:szCs w:val="52"/>
      <w:lang w:val="fr-FR" w:eastAsia="fr-FR" w:bidi="en-US"/>
    </w:rPr>
  </w:style>
  <w:style w:type="character" w:customStyle="1" w:styleId="TitleChar">
    <w:name w:val="Title Char"/>
    <w:basedOn w:val="DefaultParagraphFont"/>
    <w:link w:val="Title"/>
    <w:uiPriority w:val="99"/>
    <w:semiHidden/>
    <w:rsid w:val="009B0194"/>
    <w:rPr>
      <w:rFonts w:asciiTheme="majorHAnsi" w:eastAsiaTheme="majorEastAsia" w:hAnsiTheme="majorHAnsi" w:cstheme="majorBidi"/>
      <w:spacing w:val="5"/>
      <w:sz w:val="52"/>
      <w:szCs w:val="52"/>
      <w:lang w:bidi="en-US"/>
    </w:rPr>
  </w:style>
  <w:style w:type="paragraph" w:styleId="Subtitle">
    <w:name w:val="Subtitle"/>
    <w:basedOn w:val="Normal"/>
    <w:next w:val="Normal"/>
    <w:link w:val="SubtitleChar"/>
    <w:uiPriority w:val="99"/>
    <w:semiHidden/>
    <w:qFormat/>
    <w:rsid w:val="009B0194"/>
    <w:pPr>
      <w:spacing w:after="600"/>
    </w:pPr>
    <w:rPr>
      <w:rFonts w:asciiTheme="majorHAnsi" w:eastAsiaTheme="majorEastAsia" w:hAnsiTheme="majorHAnsi" w:cstheme="majorBidi"/>
      <w:i/>
      <w:iCs/>
      <w:spacing w:val="13"/>
      <w:szCs w:val="24"/>
      <w:lang w:val="fr-FR" w:eastAsia="fr-FR" w:bidi="en-US"/>
    </w:rPr>
  </w:style>
  <w:style w:type="character" w:customStyle="1" w:styleId="SubtitleChar">
    <w:name w:val="Subtitle Char"/>
    <w:basedOn w:val="DefaultParagraphFont"/>
    <w:link w:val="Subtitle"/>
    <w:uiPriority w:val="99"/>
    <w:semiHidden/>
    <w:rsid w:val="009B0194"/>
    <w:rPr>
      <w:rFonts w:asciiTheme="majorHAnsi" w:eastAsiaTheme="majorEastAsia" w:hAnsiTheme="majorHAnsi" w:cstheme="majorBidi"/>
      <w:i/>
      <w:iCs/>
      <w:spacing w:val="13"/>
      <w:sz w:val="24"/>
      <w:szCs w:val="24"/>
      <w:lang w:bidi="en-US"/>
    </w:rPr>
  </w:style>
  <w:style w:type="character" w:styleId="Emphasis">
    <w:name w:val="Emphasis"/>
    <w:uiPriority w:val="99"/>
    <w:semiHidden/>
    <w:qFormat/>
    <w:rsid w:val="009B0194"/>
    <w:rPr>
      <w:b/>
      <w:bCs/>
      <w:i/>
      <w:iCs/>
      <w:spacing w:val="10"/>
      <w:bdr w:val="none" w:sz="0" w:space="0" w:color="auto"/>
      <w:shd w:val="clear" w:color="auto" w:fill="auto"/>
    </w:rPr>
  </w:style>
  <w:style w:type="paragraph" w:styleId="NoSpacing">
    <w:name w:val="No Spacing"/>
    <w:basedOn w:val="Normal"/>
    <w:link w:val="NoSpacingChar"/>
    <w:semiHidden/>
    <w:qFormat/>
    <w:rsid w:val="009B0194"/>
    <w:rPr>
      <w:sz w:val="22"/>
      <w:lang w:val="fr-FR" w:eastAsia="fr-FR"/>
    </w:rPr>
  </w:style>
  <w:style w:type="character" w:customStyle="1" w:styleId="NoSpacingChar">
    <w:name w:val="No Spacing Char"/>
    <w:basedOn w:val="DefaultParagraphFont"/>
    <w:link w:val="NoSpacing"/>
    <w:semiHidden/>
    <w:rsid w:val="009B0194"/>
    <w:rPr>
      <w:rFonts w:eastAsiaTheme="minorEastAsia"/>
    </w:rPr>
  </w:style>
  <w:style w:type="paragraph" w:styleId="ListParagraph">
    <w:name w:val="List Paragraph"/>
    <w:basedOn w:val="Normal"/>
    <w:uiPriority w:val="99"/>
    <w:semiHidden/>
    <w:qFormat/>
    <w:rsid w:val="009B0194"/>
    <w:pPr>
      <w:ind w:left="720"/>
      <w:contextualSpacing/>
    </w:pPr>
    <w:rPr>
      <w:lang w:val="fr-FR" w:eastAsia="fr-FR"/>
    </w:rPr>
  </w:style>
  <w:style w:type="paragraph" w:styleId="Quote">
    <w:name w:val="Quote"/>
    <w:basedOn w:val="Normal"/>
    <w:next w:val="Normal"/>
    <w:link w:val="QuoteChar"/>
    <w:uiPriority w:val="99"/>
    <w:semiHidden/>
    <w:qFormat/>
    <w:rsid w:val="009B0194"/>
    <w:pPr>
      <w:spacing w:before="200"/>
      <w:ind w:left="360" w:right="360"/>
    </w:pPr>
    <w:rPr>
      <w:i/>
      <w:iCs/>
      <w:sz w:val="22"/>
      <w:lang w:val="fr-FR" w:eastAsia="fr-FR" w:bidi="en-US"/>
    </w:rPr>
  </w:style>
  <w:style w:type="character" w:customStyle="1" w:styleId="QuoteChar">
    <w:name w:val="Quote Char"/>
    <w:basedOn w:val="DefaultParagraphFont"/>
    <w:link w:val="Quote"/>
    <w:uiPriority w:val="99"/>
    <w:semiHidden/>
    <w:rsid w:val="009B0194"/>
    <w:rPr>
      <w:rFonts w:eastAsiaTheme="minorEastAsia"/>
      <w:i/>
      <w:iCs/>
      <w:lang w:bidi="en-US"/>
    </w:rPr>
  </w:style>
  <w:style w:type="paragraph" w:styleId="IntenseQuote">
    <w:name w:val="Intense Quote"/>
    <w:basedOn w:val="Normal"/>
    <w:next w:val="Normal"/>
    <w:link w:val="IntenseQuoteChar"/>
    <w:uiPriority w:val="99"/>
    <w:semiHidden/>
    <w:qFormat/>
    <w:rsid w:val="009B0194"/>
    <w:pPr>
      <w:pBdr>
        <w:bottom w:val="single" w:sz="4" w:space="1" w:color="auto"/>
      </w:pBdr>
      <w:spacing w:before="200" w:after="280"/>
      <w:ind w:left="1008" w:right="1152"/>
    </w:pPr>
    <w:rPr>
      <w:b/>
      <w:bCs/>
      <w:i/>
      <w:iCs/>
      <w:sz w:val="22"/>
      <w:lang w:val="fr-FR" w:eastAsia="fr-FR" w:bidi="en-US"/>
    </w:rPr>
  </w:style>
  <w:style w:type="character" w:customStyle="1" w:styleId="IntenseQuoteChar">
    <w:name w:val="Intense Quote Char"/>
    <w:basedOn w:val="DefaultParagraphFont"/>
    <w:link w:val="IntenseQuote"/>
    <w:uiPriority w:val="99"/>
    <w:semiHidden/>
    <w:rsid w:val="009B0194"/>
    <w:rPr>
      <w:rFonts w:eastAsiaTheme="minorEastAsia"/>
      <w:b/>
      <w:bCs/>
      <w:i/>
      <w:iCs/>
      <w:lang w:bidi="en-US"/>
    </w:rPr>
  </w:style>
  <w:style w:type="character" w:styleId="SubtleEmphasis">
    <w:name w:val="Subtle Emphasis"/>
    <w:uiPriority w:val="99"/>
    <w:semiHidden/>
    <w:qFormat/>
    <w:rsid w:val="009B0194"/>
    <w:rPr>
      <w:i/>
      <w:iCs/>
    </w:rPr>
  </w:style>
  <w:style w:type="character" w:styleId="IntenseEmphasis">
    <w:name w:val="Intense Emphasis"/>
    <w:uiPriority w:val="99"/>
    <w:semiHidden/>
    <w:qFormat/>
    <w:rsid w:val="009B0194"/>
    <w:rPr>
      <w:b/>
      <w:bCs/>
    </w:rPr>
  </w:style>
  <w:style w:type="character" w:styleId="SubtleReference">
    <w:name w:val="Subtle Reference"/>
    <w:uiPriority w:val="99"/>
    <w:semiHidden/>
    <w:qFormat/>
    <w:rsid w:val="009B0194"/>
    <w:rPr>
      <w:smallCaps/>
    </w:rPr>
  </w:style>
  <w:style w:type="character" w:styleId="IntenseReference">
    <w:name w:val="Intense Reference"/>
    <w:uiPriority w:val="99"/>
    <w:semiHidden/>
    <w:qFormat/>
    <w:rsid w:val="009B0194"/>
    <w:rPr>
      <w:smallCaps/>
      <w:spacing w:val="5"/>
      <w:u w:val="single"/>
    </w:rPr>
  </w:style>
  <w:style w:type="character" w:styleId="BookTitle">
    <w:name w:val="Book Title"/>
    <w:uiPriority w:val="99"/>
    <w:semiHidden/>
    <w:qFormat/>
    <w:rsid w:val="009B0194"/>
    <w:rPr>
      <w:i/>
      <w:iCs/>
      <w:smallCaps/>
      <w:spacing w:val="5"/>
    </w:rPr>
  </w:style>
  <w:style w:type="paragraph" w:styleId="TOCHeading">
    <w:name w:val="TOC Heading"/>
    <w:basedOn w:val="Heading1"/>
    <w:next w:val="Normal"/>
    <w:uiPriority w:val="99"/>
    <w:semiHidden/>
    <w:qFormat/>
    <w:rsid w:val="009B0194"/>
    <w:pPr>
      <w:outlineLvl w:val="9"/>
    </w:pPr>
    <w:rPr>
      <w:color w:val="474747" w:themeColor="accent3" w:themeShade="BF"/>
      <w:lang w:val="fr-FR" w:eastAsia="fr-FR"/>
    </w:rPr>
  </w:style>
  <w:style w:type="numbering" w:styleId="111111">
    <w:name w:val="Outline List 2"/>
    <w:basedOn w:val="NoList"/>
    <w:uiPriority w:val="99"/>
    <w:semiHidden/>
    <w:rsid w:val="00171962"/>
    <w:pPr>
      <w:numPr>
        <w:numId w:val="2"/>
      </w:numPr>
    </w:pPr>
  </w:style>
  <w:style w:type="numbering" w:styleId="1ai">
    <w:name w:val="Outline List 1"/>
    <w:basedOn w:val="NoList"/>
    <w:uiPriority w:val="99"/>
    <w:semiHidden/>
    <w:rsid w:val="00171962"/>
    <w:pPr>
      <w:numPr>
        <w:numId w:val="3"/>
      </w:numPr>
    </w:pPr>
  </w:style>
  <w:style w:type="numbering" w:styleId="ArticleSection">
    <w:name w:val="Outline List 3"/>
    <w:basedOn w:val="NoList"/>
    <w:uiPriority w:val="99"/>
    <w:semiHidden/>
    <w:rsid w:val="00171962"/>
    <w:pPr>
      <w:numPr>
        <w:numId w:val="4"/>
      </w:numPr>
    </w:pPr>
  </w:style>
  <w:style w:type="paragraph" w:styleId="Bibliography">
    <w:name w:val="Bibliography"/>
    <w:basedOn w:val="Normal"/>
    <w:next w:val="Normal"/>
    <w:uiPriority w:val="99"/>
    <w:semiHidden/>
    <w:unhideWhenUsed/>
    <w:rsid w:val="00171962"/>
  </w:style>
  <w:style w:type="paragraph" w:styleId="BlockText">
    <w:name w:val="Block Text"/>
    <w:basedOn w:val="Normal"/>
    <w:uiPriority w:val="99"/>
    <w:semiHidden/>
    <w:rsid w:val="00171962"/>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BodyText">
    <w:name w:val="Body Text"/>
    <w:basedOn w:val="Normal"/>
    <w:link w:val="BodyTextChar"/>
    <w:uiPriority w:val="99"/>
    <w:semiHidden/>
    <w:rsid w:val="00171962"/>
    <w:pPr>
      <w:spacing w:after="120"/>
    </w:pPr>
  </w:style>
  <w:style w:type="character" w:customStyle="1" w:styleId="BodyTextChar">
    <w:name w:val="Body Text Char"/>
    <w:basedOn w:val="DefaultParagraphFont"/>
    <w:link w:val="BodyText"/>
    <w:rsid w:val="00171962"/>
    <w:rPr>
      <w:sz w:val="24"/>
      <w:lang w:val="en-GB"/>
    </w:rPr>
  </w:style>
  <w:style w:type="paragraph" w:styleId="BodyText2">
    <w:name w:val="Body Text 2"/>
    <w:basedOn w:val="Normal"/>
    <w:link w:val="BodyText2Char"/>
    <w:uiPriority w:val="99"/>
    <w:semiHidden/>
    <w:rsid w:val="00171962"/>
    <w:pPr>
      <w:spacing w:after="120" w:line="480" w:lineRule="auto"/>
    </w:pPr>
  </w:style>
  <w:style w:type="character" w:customStyle="1" w:styleId="BodyText2Char">
    <w:name w:val="Body Text 2 Char"/>
    <w:basedOn w:val="DefaultParagraphFont"/>
    <w:link w:val="BodyText2"/>
    <w:rsid w:val="00171962"/>
    <w:rPr>
      <w:sz w:val="24"/>
      <w:lang w:val="en-GB"/>
    </w:rPr>
  </w:style>
  <w:style w:type="paragraph" w:styleId="BodyText3">
    <w:name w:val="Body Text 3"/>
    <w:basedOn w:val="Normal"/>
    <w:link w:val="BodyText3Char"/>
    <w:uiPriority w:val="99"/>
    <w:semiHidden/>
    <w:rsid w:val="00171962"/>
    <w:pPr>
      <w:spacing w:after="120"/>
    </w:pPr>
    <w:rPr>
      <w:sz w:val="16"/>
      <w:szCs w:val="16"/>
    </w:rPr>
  </w:style>
  <w:style w:type="character" w:customStyle="1" w:styleId="BodyText3Char">
    <w:name w:val="Body Text 3 Char"/>
    <w:basedOn w:val="DefaultParagraphFont"/>
    <w:link w:val="BodyText3"/>
    <w:rsid w:val="00171962"/>
    <w:rPr>
      <w:sz w:val="16"/>
      <w:szCs w:val="16"/>
      <w:lang w:val="en-GB"/>
    </w:rPr>
  </w:style>
  <w:style w:type="paragraph" w:styleId="BodyTextFirstIndent">
    <w:name w:val="Body Text First Indent"/>
    <w:basedOn w:val="BodyText"/>
    <w:link w:val="BodyTextFirstIndentChar"/>
    <w:uiPriority w:val="99"/>
    <w:semiHidden/>
    <w:rsid w:val="00171962"/>
    <w:pPr>
      <w:spacing w:after="0"/>
      <w:ind w:firstLine="360"/>
    </w:pPr>
  </w:style>
  <w:style w:type="character" w:customStyle="1" w:styleId="BodyTextFirstIndentChar">
    <w:name w:val="Body Text First Indent Char"/>
    <w:basedOn w:val="BodyTextChar"/>
    <w:link w:val="BodyTextFirstIndent"/>
    <w:rsid w:val="00171962"/>
    <w:rPr>
      <w:sz w:val="24"/>
      <w:lang w:val="en-GB"/>
    </w:rPr>
  </w:style>
  <w:style w:type="paragraph" w:styleId="BodyTextIndent">
    <w:name w:val="Body Text Indent"/>
    <w:basedOn w:val="Normal"/>
    <w:link w:val="BodyTextIndentChar"/>
    <w:uiPriority w:val="99"/>
    <w:semiHidden/>
    <w:rsid w:val="00171962"/>
    <w:pPr>
      <w:spacing w:after="120"/>
      <w:ind w:left="283"/>
    </w:pPr>
  </w:style>
  <w:style w:type="character" w:customStyle="1" w:styleId="BodyTextIndentChar">
    <w:name w:val="Body Text Indent Char"/>
    <w:basedOn w:val="DefaultParagraphFont"/>
    <w:link w:val="BodyTextIndent"/>
    <w:rsid w:val="00171962"/>
    <w:rPr>
      <w:sz w:val="24"/>
      <w:lang w:val="en-GB"/>
    </w:rPr>
  </w:style>
  <w:style w:type="paragraph" w:styleId="BodyTextFirstIndent2">
    <w:name w:val="Body Text First Indent 2"/>
    <w:basedOn w:val="BodyTextIndent"/>
    <w:link w:val="BodyTextFirstIndent2Char"/>
    <w:uiPriority w:val="99"/>
    <w:semiHidden/>
    <w:rsid w:val="00171962"/>
    <w:pPr>
      <w:spacing w:after="0"/>
      <w:ind w:left="360" w:firstLine="360"/>
    </w:pPr>
  </w:style>
  <w:style w:type="character" w:customStyle="1" w:styleId="BodyTextFirstIndent2Char">
    <w:name w:val="Body Text First Indent 2 Char"/>
    <w:basedOn w:val="BodyTextIndentChar"/>
    <w:link w:val="BodyTextFirstIndent2"/>
    <w:rsid w:val="00171962"/>
    <w:rPr>
      <w:sz w:val="24"/>
      <w:lang w:val="en-GB"/>
    </w:rPr>
  </w:style>
  <w:style w:type="paragraph" w:styleId="BodyTextIndent2">
    <w:name w:val="Body Text Indent 2"/>
    <w:basedOn w:val="Normal"/>
    <w:link w:val="BodyTextIndent2Char"/>
    <w:uiPriority w:val="99"/>
    <w:semiHidden/>
    <w:rsid w:val="00171962"/>
    <w:pPr>
      <w:spacing w:after="120" w:line="480" w:lineRule="auto"/>
      <w:ind w:left="283"/>
    </w:pPr>
  </w:style>
  <w:style w:type="character" w:customStyle="1" w:styleId="BodyTextIndent2Char">
    <w:name w:val="Body Text Indent 2 Char"/>
    <w:basedOn w:val="DefaultParagraphFont"/>
    <w:link w:val="BodyTextIndent2"/>
    <w:rsid w:val="00171962"/>
    <w:rPr>
      <w:sz w:val="24"/>
      <w:lang w:val="en-GB"/>
    </w:rPr>
  </w:style>
  <w:style w:type="paragraph" w:styleId="BodyTextIndent3">
    <w:name w:val="Body Text Indent 3"/>
    <w:basedOn w:val="Normal"/>
    <w:link w:val="BodyTextIndent3Char"/>
    <w:uiPriority w:val="99"/>
    <w:semiHidden/>
    <w:rsid w:val="00171962"/>
    <w:pPr>
      <w:spacing w:after="120"/>
      <w:ind w:left="283"/>
    </w:pPr>
    <w:rPr>
      <w:sz w:val="16"/>
      <w:szCs w:val="16"/>
    </w:rPr>
  </w:style>
  <w:style w:type="character" w:customStyle="1" w:styleId="BodyTextIndent3Char">
    <w:name w:val="Body Text Indent 3 Char"/>
    <w:basedOn w:val="DefaultParagraphFont"/>
    <w:link w:val="BodyTextIndent3"/>
    <w:rsid w:val="00171962"/>
    <w:rPr>
      <w:sz w:val="16"/>
      <w:szCs w:val="16"/>
      <w:lang w:val="en-GB"/>
    </w:rPr>
  </w:style>
  <w:style w:type="paragraph" w:styleId="Caption">
    <w:name w:val="caption"/>
    <w:basedOn w:val="Normal"/>
    <w:next w:val="Normal"/>
    <w:uiPriority w:val="99"/>
    <w:semiHidden/>
    <w:qFormat/>
    <w:rsid w:val="00171962"/>
    <w:pPr>
      <w:spacing w:after="200"/>
    </w:pPr>
    <w:rPr>
      <w:b/>
      <w:bCs/>
      <w:color w:val="0072BC" w:themeColor="accent1"/>
      <w:sz w:val="18"/>
      <w:szCs w:val="18"/>
      <w:lang w:val="fr-FR" w:eastAsia="fr-FR"/>
    </w:rPr>
  </w:style>
  <w:style w:type="paragraph" w:styleId="Closing">
    <w:name w:val="Closing"/>
    <w:basedOn w:val="Normal"/>
    <w:link w:val="ClosingChar"/>
    <w:uiPriority w:val="99"/>
    <w:semiHidden/>
    <w:rsid w:val="00171962"/>
    <w:pPr>
      <w:ind w:left="4252"/>
    </w:pPr>
  </w:style>
  <w:style w:type="character" w:customStyle="1" w:styleId="ClosingChar">
    <w:name w:val="Closing Char"/>
    <w:basedOn w:val="DefaultParagraphFont"/>
    <w:link w:val="Closing"/>
    <w:rsid w:val="00171962"/>
    <w:rPr>
      <w:sz w:val="24"/>
      <w:lang w:val="en-GB"/>
    </w:rPr>
  </w:style>
  <w:style w:type="table" w:styleId="ColorfulGrid">
    <w:name w:val="Colorful Grid"/>
    <w:basedOn w:val="TableNormal"/>
    <w:uiPriority w:val="99"/>
    <w:semiHidden/>
    <w:rsid w:val="00171962"/>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rsid w:val="00171962"/>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99"/>
    <w:semiHidden/>
    <w:rsid w:val="00171962"/>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99"/>
    <w:semiHidden/>
    <w:rsid w:val="00171962"/>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99"/>
    <w:semiHidden/>
    <w:rsid w:val="00171962"/>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99"/>
    <w:semiHidden/>
    <w:rsid w:val="00171962"/>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99"/>
    <w:semiHidden/>
    <w:rsid w:val="00171962"/>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99"/>
    <w:semiHidden/>
    <w:rsid w:val="00171962"/>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rsid w:val="00171962"/>
    <w:rPr>
      <w:color w:val="000000" w:themeColor="text1"/>
    </w:rPr>
    <w:tblPr>
      <w:tblStyleRowBandSize w:val="1"/>
      <w:tblStyleColBandSize w:val="1"/>
      <w:tblInd w:w="0" w:type="dxa"/>
      <w:tblCellMar>
        <w:top w:w="0" w:type="dxa"/>
        <w:left w:w="108" w:type="dxa"/>
        <w:bottom w:w="0" w:type="dxa"/>
        <w:right w:w="108" w:type="dxa"/>
      </w:tblCellMar>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99"/>
    <w:semiHidden/>
    <w:rsid w:val="00171962"/>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99"/>
    <w:semiHidden/>
    <w:rsid w:val="00171962"/>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99"/>
    <w:semiHidden/>
    <w:rsid w:val="00171962"/>
    <w:rPr>
      <w:color w:val="000000" w:themeColor="text1"/>
    </w:rPr>
    <w:tblPr>
      <w:tblStyleRowBandSize w:val="1"/>
      <w:tblStyleColBandSize w:val="1"/>
      <w:tblInd w:w="0" w:type="dxa"/>
      <w:tblCellMar>
        <w:top w:w="0" w:type="dxa"/>
        <w:left w:w="108" w:type="dxa"/>
        <w:bottom w:w="0" w:type="dxa"/>
        <w:right w:w="108" w:type="dxa"/>
      </w:tblCellMar>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99"/>
    <w:semiHidden/>
    <w:rsid w:val="00171962"/>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99"/>
    <w:semiHidden/>
    <w:rsid w:val="00171962"/>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99"/>
    <w:semiHidden/>
    <w:rsid w:val="00171962"/>
    <w:rPr>
      <w:color w:val="000000" w:themeColor="text1"/>
    </w:rPr>
    <w:tblPr>
      <w:tblStyleRowBandSize w:val="1"/>
      <w:tblStyleColBandSize w:val="1"/>
      <w:tblInd w:w="0" w:type="dxa"/>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rsid w:val="00171962"/>
    <w:rPr>
      <w:color w:val="000000" w:themeColor="text1"/>
    </w:rPr>
    <w:tblPr>
      <w:tblStyleRowBandSize w:val="1"/>
      <w:tblStyleColBandSize w:val="1"/>
      <w:tblInd w:w="0" w:type="dxa"/>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rsid w:val="00171962"/>
    <w:rPr>
      <w:color w:val="000000" w:themeColor="text1"/>
    </w:rPr>
    <w:tblPr>
      <w:tblStyleRowBandSize w:val="1"/>
      <w:tblStyleColBandSize w:val="1"/>
      <w:tblInd w:w="0" w:type="dxa"/>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rsid w:val="00171962"/>
    <w:rPr>
      <w:color w:val="000000" w:themeColor="text1"/>
    </w:rPr>
    <w:tblPr>
      <w:tblStyleRowBandSize w:val="1"/>
      <w:tblStyleColBandSize w:val="1"/>
      <w:tblInd w:w="0" w:type="dxa"/>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99"/>
    <w:semiHidden/>
    <w:rsid w:val="00171962"/>
    <w:rPr>
      <w:color w:val="000000" w:themeColor="text1"/>
    </w:rPr>
    <w:tblPr>
      <w:tblStyleRowBandSize w:val="1"/>
      <w:tblStyleColBandSize w:val="1"/>
      <w:tblInd w:w="0" w:type="dxa"/>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rsid w:val="00171962"/>
    <w:rPr>
      <w:color w:val="000000" w:themeColor="text1"/>
    </w:rPr>
    <w:tblPr>
      <w:tblStyleRowBandSize w:val="1"/>
      <w:tblStyleColBandSize w:val="1"/>
      <w:tblInd w:w="0" w:type="dxa"/>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rsid w:val="00171962"/>
    <w:rPr>
      <w:color w:val="000000" w:themeColor="text1"/>
    </w:rPr>
    <w:tblPr>
      <w:tblStyleRowBandSize w:val="1"/>
      <w:tblStyleColBandSize w:val="1"/>
      <w:tblInd w:w="0" w:type="dxa"/>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99"/>
    <w:semiHidden/>
    <w:rsid w:val="00171962"/>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rsid w:val="00171962"/>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99"/>
    <w:semiHidden/>
    <w:rsid w:val="00171962"/>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99"/>
    <w:semiHidden/>
    <w:rsid w:val="00171962"/>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99"/>
    <w:semiHidden/>
    <w:rsid w:val="00171962"/>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99"/>
    <w:semiHidden/>
    <w:rsid w:val="00171962"/>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99"/>
    <w:semiHidden/>
    <w:rsid w:val="00171962"/>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rsid w:val="00171962"/>
  </w:style>
  <w:style w:type="character" w:customStyle="1" w:styleId="DateChar">
    <w:name w:val="Date Char"/>
    <w:basedOn w:val="DefaultParagraphFont"/>
    <w:link w:val="Date"/>
    <w:rsid w:val="00171962"/>
    <w:rPr>
      <w:sz w:val="24"/>
      <w:lang w:val="en-GB"/>
    </w:rPr>
  </w:style>
  <w:style w:type="paragraph" w:styleId="E-mailSignature">
    <w:name w:val="E-mail Signature"/>
    <w:basedOn w:val="Normal"/>
    <w:link w:val="E-mailSignatureChar"/>
    <w:uiPriority w:val="99"/>
    <w:semiHidden/>
    <w:rsid w:val="00171962"/>
  </w:style>
  <w:style w:type="character" w:customStyle="1" w:styleId="E-mailSignatureChar">
    <w:name w:val="E-mail Signature Char"/>
    <w:basedOn w:val="DefaultParagraphFont"/>
    <w:link w:val="E-mailSignature"/>
    <w:rsid w:val="00171962"/>
    <w:rPr>
      <w:sz w:val="24"/>
      <w:lang w:val="en-GB"/>
    </w:rPr>
  </w:style>
  <w:style w:type="paragraph" w:styleId="EnvelopeAddress">
    <w:name w:val="envelope address"/>
    <w:basedOn w:val="Normal"/>
    <w:uiPriority w:val="99"/>
    <w:semiHidden/>
    <w:rsid w:val="00171962"/>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EnvelopeReturn">
    <w:name w:val="envelope return"/>
    <w:basedOn w:val="Normal"/>
    <w:uiPriority w:val="99"/>
    <w:semiHidden/>
    <w:rsid w:val="00171962"/>
    <w:rPr>
      <w:rFonts w:asciiTheme="majorHAnsi" w:eastAsiaTheme="majorEastAsia" w:hAnsiTheme="majorHAnsi" w:cstheme="majorBidi"/>
      <w:sz w:val="20"/>
      <w:szCs w:val="20"/>
    </w:rPr>
  </w:style>
  <w:style w:type="character" w:styleId="HTMLAcronym">
    <w:name w:val="HTML Acronym"/>
    <w:basedOn w:val="DefaultParagraphFont"/>
    <w:uiPriority w:val="99"/>
    <w:semiHidden/>
    <w:rsid w:val="00171962"/>
  </w:style>
  <w:style w:type="paragraph" w:styleId="HTMLAddress">
    <w:name w:val="HTML Address"/>
    <w:basedOn w:val="Normal"/>
    <w:link w:val="HTMLAddressChar"/>
    <w:uiPriority w:val="99"/>
    <w:semiHidden/>
    <w:rsid w:val="00171962"/>
    <w:rPr>
      <w:i/>
      <w:iCs/>
    </w:rPr>
  </w:style>
  <w:style w:type="character" w:customStyle="1" w:styleId="HTMLAddressChar">
    <w:name w:val="HTML Address Char"/>
    <w:basedOn w:val="DefaultParagraphFont"/>
    <w:link w:val="HTMLAddress"/>
    <w:rsid w:val="00171962"/>
    <w:rPr>
      <w:i/>
      <w:iCs/>
      <w:sz w:val="24"/>
      <w:lang w:val="en-GB"/>
    </w:rPr>
  </w:style>
  <w:style w:type="character" w:styleId="HTMLCite">
    <w:name w:val="HTML Cite"/>
    <w:basedOn w:val="DefaultParagraphFont"/>
    <w:uiPriority w:val="99"/>
    <w:semiHidden/>
    <w:rsid w:val="00171962"/>
    <w:rPr>
      <w:i/>
      <w:iCs/>
    </w:rPr>
  </w:style>
  <w:style w:type="character" w:styleId="HTMLCode">
    <w:name w:val="HTML Code"/>
    <w:basedOn w:val="DefaultParagraphFont"/>
    <w:uiPriority w:val="99"/>
    <w:semiHidden/>
    <w:rsid w:val="00171962"/>
    <w:rPr>
      <w:rFonts w:ascii="Consolas" w:hAnsi="Consolas" w:cs="Consolas"/>
      <w:sz w:val="20"/>
      <w:szCs w:val="20"/>
    </w:rPr>
  </w:style>
  <w:style w:type="character" w:styleId="HTMLDefinition">
    <w:name w:val="HTML Definition"/>
    <w:basedOn w:val="DefaultParagraphFont"/>
    <w:uiPriority w:val="99"/>
    <w:semiHidden/>
    <w:rsid w:val="00171962"/>
    <w:rPr>
      <w:i/>
      <w:iCs/>
    </w:rPr>
  </w:style>
  <w:style w:type="character" w:styleId="HTMLKeyboard">
    <w:name w:val="HTML Keyboard"/>
    <w:basedOn w:val="DefaultParagraphFont"/>
    <w:uiPriority w:val="99"/>
    <w:semiHidden/>
    <w:rsid w:val="00171962"/>
    <w:rPr>
      <w:rFonts w:ascii="Consolas" w:hAnsi="Consolas" w:cs="Consolas"/>
      <w:sz w:val="20"/>
      <w:szCs w:val="20"/>
    </w:rPr>
  </w:style>
  <w:style w:type="paragraph" w:styleId="HTMLPreformatted">
    <w:name w:val="HTML Preformatted"/>
    <w:basedOn w:val="Normal"/>
    <w:link w:val="HTMLPreformattedChar"/>
    <w:uiPriority w:val="99"/>
    <w:semiHidden/>
    <w:rsid w:val="00171962"/>
    <w:rPr>
      <w:rFonts w:ascii="Consolas" w:hAnsi="Consolas" w:cs="Consolas"/>
      <w:sz w:val="20"/>
      <w:szCs w:val="20"/>
    </w:rPr>
  </w:style>
  <w:style w:type="character" w:customStyle="1" w:styleId="HTMLPreformattedChar">
    <w:name w:val="HTML Preformatted Char"/>
    <w:basedOn w:val="DefaultParagraphFont"/>
    <w:link w:val="HTMLPreformatted"/>
    <w:rsid w:val="00171962"/>
    <w:rPr>
      <w:rFonts w:ascii="Consolas" w:hAnsi="Consolas" w:cs="Consolas"/>
      <w:sz w:val="20"/>
      <w:szCs w:val="20"/>
      <w:lang w:val="en-GB"/>
    </w:rPr>
  </w:style>
  <w:style w:type="character" w:styleId="HTMLSample">
    <w:name w:val="HTML Sample"/>
    <w:basedOn w:val="DefaultParagraphFont"/>
    <w:uiPriority w:val="99"/>
    <w:semiHidden/>
    <w:rsid w:val="00171962"/>
    <w:rPr>
      <w:rFonts w:ascii="Consolas" w:hAnsi="Consolas" w:cs="Consolas"/>
      <w:sz w:val="24"/>
      <w:szCs w:val="24"/>
    </w:rPr>
  </w:style>
  <w:style w:type="character" w:styleId="HTMLTypewriter">
    <w:name w:val="HTML Typewriter"/>
    <w:basedOn w:val="DefaultParagraphFont"/>
    <w:uiPriority w:val="99"/>
    <w:semiHidden/>
    <w:rsid w:val="00171962"/>
    <w:rPr>
      <w:rFonts w:ascii="Consolas" w:hAnsi="Consolas" w:cs="Consolas"/>
      <w:sz w:val="20"/>
      <w:szCs w:val="20"/>
    </w:rPr>
  </w:style>
  <w:style w:type="character" w:styleId="HTMLVariable">
    <w:name w:val="HTML Variable"/>
    <w:basedOn w:val="DefaultParagraphFont"/>
    <w:uiPriority w:val="99"/>
    <w:semiHidden/>
    <w:rsid w:val="00171962"/>
    <w:rPr>
      <w:i/>
      <w:iCs/>
    </w:rPr>
  </w:style>
  <w:style w:type="paragraph" w:styleId="Index1">
    <w:name w:val="index 1"/>
    <w:basedOn w:val="Normal"/>
    <w:next w:val="Normal"/>
    <w:autoRedefine/>
    <w:uiPriority w:val="99"/>
    <w:semiHidden/>
    <w:rsid w:val="00171962"/>
    <w:pPr>
      <w:ind w:left="240" w:hanging="240"/>
    </w:pPr>
  </w:style>
  <w:style w:type="paragraph" w:styleId="Index2">
    <w:name w:val="index 2"/>
    <w:basedOn w:val="Normal"/>
    <w:next w:val="Normal"/>
    <w:autoRedefine/>
    <w:uiPriority w:val="99"/>
    <w:semiHidden/>
    <w:rsid w:val="00171962"/>
    <w:pPr>
      <w:ind w:left="480" w:hanging="240"/>
    </w:pPr>
  </w:style>
  <w:style w:type="paragraph" w:styleId="Index3">
    <w:name w:val="index 3"/>
    <w:basedOn w:val="Normal"/>
    <w:next w:val="Normal"/>
    <w:autoRedefine/>
    <w:uiPriority w:val="99"/>
    <w:semiHidden/>
    <w:rsid w:val="00171962"/>
    <w:pPr>
      <w:ind w:left="720" w:hanging="240"/>
    </w:pPr>
  </w:style>
  <w:style w:type="paragraph" w:styleId="Index4">
    <w:name w:val="index 4"/>
    <w:basedOn w:val="Normal"/>
    <w:next w:val="Normal"/>
    <w:autoRedefine/>
    <w:uiPriority w:val="99"/>
    <w:semiHidden/>
    <w:rsid w:val="00171962"/>
    <w:pPr>
      <w:ind w:left="960" w:hanging="240"/>
    </w:pPr>
  </w:style>
  <w:style w:type="paragraph" w:styleId="Index5">
    <w:name w:val="index 5"/>
    <w:basedOn w:val="Normal"/>
    <w:next w:val="Normal"/>
    <w:autoRedefine/>
    <w:uiPriority w:val="99"/>
    <w:semiHidden/>
    <w:rsid w:val="00171962"/>
    <w:pPr>
      <w:ind w:left="1200" w:hanging="240"/>
    </w:pPr>
  </w:style>
  <w:style w:type="paragraph" w:styleId="Index6">
    <w:name w:val="index 6"/>
    <w:basedOn w:val="Normal"/>
    <w:next w:val="Normal"/>
    <w:autoRedefine/>
    <w:uiPriority w:val="99"/>
    <w:semiHidden/>
    <w:rsid w:val="00171962"/>
    <w:pPr>
      <w:ind w:left="1440" w:hanging="240"/>
    </w:pPr>
  </w:style>
  <w:style w:type="paragraph" w:styleId="Index7">
    <w:name w:val="index 7"/>
    <w:basedOn w:val="Normal"/>
    <w:next w:val="Normal"/>
    <w:autoRedefine/>
    <w:uiPriority w:val="99"/>
    <w:semiHidden/>
    <w:rsid w:val="00171962"/>
    <w:pPr>
      <w:ind w:left="1680" w:hanging="240"/>
    </w:pPr>
  </w:style>
  <w:style w:type="paragraph" w:styleId="Index8">
    <w:name w:val="index 8"/>
    <w:basedOn w:val="Normal"/>
    <w:next w:val="Normal"/>
    <w:autoRedefine/>
    <w:uiPriority w:val="99"/>
    <w:semiHidden/>
    <w:rsid w:val="00171962"/>
    <w:pPr>
      <w:ind w:left="1920" w:hanging="240"/>
    </w:pPr>
  </w:style>
  <w:style w:type="paragraph" w:styleId="Index9">
    <w:name w:val="index 9"/>
    <w:basedOn w:val="Normal"/>
    <w:next w:val="Normal"/>
    <w:autoRedefine/>
    <w:uiPriority w:val="99"/>
    <w:semiHidden/>
    <w:rsid w:val="00171962"/>
    <w:pPr>
      <w:ind w:left="2160" w:hanging="240"/>
    </w:pPr>
  </w:style>
  <w:style w:type="paragraph" w:styleId="IndexHeading">
    <w:name w:val="index heading"/>
    <w:basedOn w:val="Normal"/>
    <w:next w:val="Index1"/>
    <w:uiPriority w:val="99"/>
    <w:semiHidden/>
    <w:rsid w:val="00171962"/>
    <w:rPr>
      <w:rFonts w:asciiTheme="majorHAnsi" w:eastAsiaTheme="majorEastAsia" w:hAnsiTheme="majorHAnsi" w:cstheme="majorBidi"/>
      <w:b/>
      <w:bCs/>
    </w:rPr>
  </w:style>
  <w:style w:type="table" w:styleId="LightGrid">
    <w:name w:val="Light Grid"/>
    <w:basedOn w:val="TableNormal"/>
    <w:uiPriority w:val="99"/>
    <w:semiHidden/>
    <w:rsid w:val="00171962"/>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rsid w:val="00171962"/>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99"/>
    <w:semiHidden/>
    <w:rsid w:val="00171962"/>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99"/>
    <w:semiHidden/>
    <w:rsid w:val="00171962"/>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99"/>
    <w:semiHidden/>
    <w:rsid w:val="00171962"/>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99"/>
    <w:semiHidden/>
    <w:rsid w:val="00171962"/>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99"/>
    <w:semiHidden/>
    <w:rsid w:val="00171962"/>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99"/>
    <w:semiHidden/>
    <w:rsid w:val="00171962"/>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rsid w:val="00171962"/>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99"/>
    <w:semiHidden/>
    <w:rsid w:val="00171962"/>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99"/>
    <w:semiHidden/>
    <w:rsid w:val="00171962"/>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99"/>
    <w:semiHidden/>
    <w:rsid w:val="00171962"/>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99"/>
    <w:semiHidden/>
    <w:rsid w:val="00171962"/>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99"/>
    <w:semiHidden/>
    <w:rsid w:val="00171962"/>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99"/>
    <w:semiHidden/>
    <w:rsid w:val="00171962"/>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rsid w:val="00171962"/>
    <w:rPr>
      <w:color w:val="00548C" w:themeColor="accent1" w:themeShade="BF"/>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99"/>
    <w:semiHidden/>
    <w:rsid w:val="00171962"/>
    <w:rPr>
      <w:color w:val="8F0000" w:themeColor="accent2" w:themeShade="BF"/>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99"/>
    <w:semiHidden/>
    <w:rsid w:val="00171962"/>
    <w:rPr>
      <w:color w:val="474747" w:themeColor="accent3" w:themeShade="BF"/>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99"/>
    <w:semiHidden/>
    <w:rsid w:val="00171962"/>
    <w:rPr>
      <w:color w:val="707070" w:themeColor="accent4" w:themeShade="BF"/>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99"/>
    <w:semiHidden/>
    <w:rsid w:val="00171962"/>
    <w:rPr>
      <w:color w:val="474747" w:themeColor="accent5" w:themeShade="BF"/>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99"/>
    <w:semiHidden/>
    <w:rsid w:val="00171962"/>
    <w:rPr>
      <w:color w:val="393939" w:themeColor="accent6" w:themeShade="BF"/>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rsid w:val="00171962"/>
  </w:style>
  <w:style w:type="paragraph" w:styleId="List">
    <w:name w:val="List"/>
    <w:basedOn w:val="Normal"/>
    <w:uiPriority w:val="99"/>
    <w:semiHidden/>
    <w:rsid w:val="00171962"/>
    <w:pPr>
      <w:ind w:left="283" w:hanging="283"/>
      <w:contextualSpacing/>
    </w:pPr>
  </w:style>
  <w:style w:type="paragraph" w:styleId="List2">
    <w:name w:val="List 2"/>
    <w:basedOn w:val="Normal"/>
    <w:uiPriority w:val="99"/>
    <w:semiHidden/>
    <w:rsid w:val="00171962"/>
    <w:pPr>
      <w:ind w:left="566" w:hanging="283"/>
      <w:contextualSpacing/>
    </w:pPr>
  </w:style>
  <w:style w:type="paragraph" w:styleId="List3">
    <w:name w:val="List 3"/>
    <w:basedOn w:val="Normal"/>
    <w:uiPriority w:val="99"/>
    <w:semiHidden/>
    <w:rsid w:val="00171962"/>
    <w:pPr>
      <w:ind w:left="849" w:hanging="283"/>
      <w:contextualSpacing/>
    </w:pPr>
  </w:style>
  <w:style w:type="paragraph" w:styleId="List4">
    <w:name w:val="List 4"/>
    <w:basedOn w:val="Normal"/>
    <w:uiPriority w:val="99"/>
    <w:semiHidden/>
    <w:rsid w:val="00171962"/>
    <w:pPr>
      <w:ind w:left="1132" w:hanging="283"/>
      <w:contextualSpacing/>
    </w:pPr>
  </w:style>
  <w:style w:type="paragraph" w:styleId="List5">
    <w:name w:val="List 5"/>
    <w:basedOn w:val="Normal"/>
    <w:uiPriority w:val="99"/>
    <w:semiHidden/>
    <w:rsid w:val="00171962"/>
    <w:pPr>
      <w:ind w:left="1415" w:hanging="283"/>
      <w:contextualSpacing/>
    </w:pPr>
  </w:style>
  <w:style w:type="paragraph" w:styleId="ListBullet2">
    <w:name w:val="List Bullet 2"/>
    <w:basedOn w:val="Normal"/>
    <w:uiPriority w:val="99"/>
    <w:semiHidden/>
    <w:rsid w:val="00171962"/>
    <w:pPr>
      <w:numPr>
        <w:numId w:val="5"/>
      </w:numPr>
      <w:contextualSpacing/>
    </w:pPr>
  </w:style>
  <w:style w:type="paragraph" w:styleId="ListBullet3">
    <w:name w:val="List Bullet 3"/>
    <w:basedOn w:val="Normal"/>
    <w:uiPriority w:val="99"/>
    <w:semiHidden/>
    <w:rsid w:val="00171962"/>
    <w:pPr>
      <w:numPr>
        <w:numId w:val="6"/>
      </w:numPr>
      <w:contextualSpacing/>
    </w:pPr>
  </w:style>
  <w:style w:type="paragraph" w:styleId="ListBullet4">
    <w:name w:val="List Bullet 4"/>
    <w:basedOn w:val="Normal"/>
    <w:uiPriority w:val="99"/>
    <w:semiHidden/>
    <w:rsid w:val="00171962"/>
    <w:pPr>
      <w:numPr>
        <w:numId w:val="7"/>
      </w:numPr>
      <w:contextualSpacing/>
    </w:pPr>
  </w:style>
  <w:style w:type="paragraph" w:styleId="ListBullet5">
    <w:name w:val="List Bullet 5"/>
    <w:basedOn w:val="Normal"/>
    <w:uiPriority w:val="99"/>
    <w:semiHidden/>
    <w:rsid w:val="00171962"/>
    <w:pPr>
      <w:numPr>
        <w:numId w:val="8"/>
      </w:numPr>
      <w:contextualSpacing/>
    </w:pPr>
  </w:style>
  <w:style w:type="paragraph" w:styleId="ListContinue">
    <w:name w:val="List Continue"/>
    <w:basedOn w:val="Normal"/>
    <w:uiPriority w:val="99"/>
    <w:semiHidden/>
    <w:rsid w:val="00171962"/>
    <w:pPr>
      <w:spacing w:after="120"/>
      <w:ind w:left="283"/>
      <w:contextualSpacing/>
    </w:pPr>
  </w:style>
  <w:style w:type="paragraph" w:styleId="ListContinue2">
    <w:name w:val="List Continue 2"/>
    <w:basedOn w:val="Normal"/>
    <w:uiPriority w:val="99"/>
    <w:semiHidden/>
    <w:rsid w:val="00171962"/>
    <w:pPr>
      <w:spacing w:after="120"/>
      <w:ind w:left="566"/>
      <w:contextualSpacing/>
    </w:pPr>
  </w:style>
  <w:style w:type="paragraph" w:styleId="ListContinue3">
    <w:name w:val="List Continue 3"/>
    <w:basedOn w:val="Normal"/>
    <w:uiPriority w:val="99"/>
    <w:semiHidden/>
    <w:rsid w:val="00171962"/>
    <w:pPr>
      <w:spacing w:after="120"/>
      <w:ind w:left="849"/>
      <w:contextualSpacing/>
    </w:pPr>
  </w:style>
  <w:style w:type="paragraph" w:styleId="ListContinue4">
    <w:name w:val="List Continue 4"/>
    <w:basedOn w:val="Normal"/>
    <w:uiPriority w:val="99"/>
    <w:semiHidden/>
    <w:rsid w:val="00171962"/>
    <w:pPr>
      <w:spacing w:after="120"/>
      <w:ind w:left="1132"/>
      <w:contextualSpacing/>
    </w:pPr>
  </w:style>
  <w:style w:type="paragraph" w:styleId="ListContinue5">
    <w:name w:val="List Continue 5"/>
    <w:basedOn w:val="Normal"/>
    <w:uiPriority w:val="99"/>
    <w:semiHidden/>
    <w:rsid w:val="00171962"/>
    <w:pPr>
      <w:spacing w:after="120"/>
      <w:ind w:left="1415"/>
      <w:contextualSpacing/>
    </w:pPr>
  </w:style>
  <w:style w:type="paragraph" w:styleId="ListNumber">
    <w:name w:val="List Number"/>
    <w:basedOn w:val="Normal"/>
    <w:uiPriority w:val="99"/>
    <w:semiHidden/>
    <w:rsid w:val="00171962"/>
    <w:pPr>
      <w:numPr>
        <w:numId w:val="9"/>
      </w:numPr>
      <w:contextualSpacing/>
    </w:pPr>
  </w:style>
  <w:style w:type="paragraph" w:styleId="ListNumber2">
    <w:name w:val="List Number 2"/>
    <w:basedOn w:val="Normal"/>
    <w:uiPriority w:val="99"/>
    <w:semiHidden/>
    <w:rsid w:val="00171962"/>
    <w:pPr>
      <w:numPr>
        <w:numId w:val="10"/>
      </w:numPr>
      <w:contextualSpacing/>
    </w:pPr>
  </w:style>
  <w:style w:type="paragraph" w:styleId="ListNumber3">
    <w:name w:val="List Number 3"/>
    <w:basedOn w:val="Normal"/>
    <w:uiPriority w:val="99"/>
    <w:semiHidden/>
    <w:rsid w:val="00171962"/>
    <w:pPr>
      <w:numPr>
        <w:numId w:val="11"/>
      </w:numPr>
      <w:contextualSpacing/>
    </w:pPr>
  </w:style>
  <w:style w:type="paragraph" w:styleId="ListNumber4">
    <w:name w:val="List Number 4"/>
    <w:basedOn w:val="Normal"/>
    <w:uiPriority w:val="99"/>
    <w:semiHidden/>
    <w:rsid w:val="00171962"/>
    <w:pPr>
      <w:numPr>
        <w:numId w:val="12"/>
      </w:numPr>
      <w:contextualSpacing/>
    </w:pPr>
  </w:style>
  <w:style w:type="paragraph" w:styleId="ListNumber5">
    <w:name w:val="List Number 5"/>
    <w:basedOn w:val="Normal"/>
    <w:uiPriority w:val="99"/>
    <w:semiHidden/>
    <w:rsid w:val="00171962"/>
    <w:pPr>
      <w:numPr>
        <w:numId w:val="13"/>
      </w:numPr>
      <w:contextualSpacing/>
    </w:pPr>
  </w:style>
  <w:style w:type="paragraph" w:styleId="MacroText">
    <w:name w:val="macro"/>
    <w:link w:val="MacroTextChar"/>
    <w:uiPriority w:val="99"/>
    <w:semiHidden/>
    <w:rsid w:val="00171962"/>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cs="Consolas"/>
      <w:sz w:val="20"/>
      <w:szCs w:val="20"/>
      <w:lang w:val="en-GB"/>
    </w:rPr>
  </w:style>
  <w:style w:type="character" w:customStyle="1" w:styleId="MacroTextChar">
    <w:name w:val="Macro Text Char"/>
    <w:basedOn w:val="DefaultParagraphFont"/>
    <w:link w:val="MacroText"/>
    <w:rsid w:val="00171962"/>
    <w:rPr>
      <w:rFonts w:ascii="Consolas" w:hAnsi="Consolas" w:cs="Consolas"/>
      <w:sz w:val="20"/>
      <w:szCs w:val="20"/>
      <w:lang w:val="en-GB"/>
    </w:rPr>
  </w:style>
  <w:style w:type="table" w:styleId="MediumGrid1">
    <w:name w:val="Medium Grid 1"/>
    <w:basedOn w:val="TableNormal"/>
    <w:uiPriority w:val="99"/>
    <w:semiHidden/>
    <w:rsid w:val="00171962"/>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rsid w:val="00171962"/>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CellMar>
        <w:top w:w="0" w:type="dxa"/>
        <w:left w:w="108" w:type="dxa"/>
        <w:bottom w:w="0" w:type="dxa"/>
        <w:right w:w="108" w:type="dxa"/>
      </w:tblCellMar>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99"/>
    <w:semiHidden/>
    <w:rsid w:val="00171962"/>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CellMar>
        <w:top w:w="0" w:type="dxa"/>
        <w:left w:w="108" w:type="dxa"/>
        <w:bottom w:w="0" w:type="dxa"/>
        <w:right w:w="108" w:type="dxa"/>
      </w:tblCellMar>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99"/>
    <w:semiHidden/>
    <w:rsid w:val="00171962"/>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CellMar>
        <w:top w:w="0" w:type="dxa"/>
        <w:left w:w="108" w:type="dxa"/>
        <w:bottom w:w="0" w:type="dxa"/>
        <w:right w:w="108" w:type="dxa"/>
      </w:tblCellMar>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99"/>
    <w:semiHidden/>
    <w:rsid w:val="00171962"/>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CellMar>
        <w:top w:w="0" w:type="dxa"/>
        <w:left w:w="108" w:type="dxa"/>
        <w:bottom w:w="0" w:type="dxa"/>
        <w:right w:w="108" w:type="dxa"/>
      </w:tblCellMar>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99"/>
    <w:semiHidden/>
    <w:rsid w:val="00171962"/>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CellMar>
        <w:top w:w="0" w:type="dxa"/>
        <w:left w:w="108" w:type="dxa"/>
        <w:bottom w:w="0" w:type="dxa"/>
        <w:right w:w="108" w:type="dxa"/>
      </w:tblCellMar>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99"/>
    <w:semiHidden/>
    <w:rsid w:val="00171962"/>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CellMar>
        <w:top w:w="0" w:type="dxa"/>
        <w:left w:w="108" w:type="dxa"/>
        <w:bottom w:w="0" w:type="dxa"/>
        <w:right w:w="108" w:type="dxa"/>
      </w:tblCellMar>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99"/>
    <w:semiHidden/>
    <w:rsid w:val="00171962"/>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99"/>
    <w:semiHidden/>
    <w:rsid w:val="00171962"/>
    <w:rPr>
      <w:rFonts w:asciiTheme="majorHAnsi" w:eastAsiaTheme="majorEastAsia" w:hAnsiTheme="majorHAnsi" w:cstheme="majorBidi"/>
      <w:color w:val="000000" w:themeColor="text1"/>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99"/>
    <w:semiHidden/>
    <w:rsid w:val="00171962"/>
    <w:rPr>
      <w:rFonts w:asciiTheme="majorHAnsi" w:eastAsiaTheme="majorEastAsia" w:hAnsiTheme="majorHAnsi" w:cstheme="majorBidi"/>
      <w:color w:val="000000" w:themeColor="text1"/>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99"/>
    <w:semiHidden/>
    <w:rsid w:val="00171962"/>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99"/>
    <w:semiHidden/>
    <w:rsid w:val="00171962"/>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99"/>
    <w:semiHidden/>
    <w:rsid w:val="00171962"/>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99"/>
    <w:semiHidden/>
    <w:rsid w:val="00171962"/>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99"/>
    <w:semiHidden/>
    <w:rsid w:val="00171962"/>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99"/>
    <w:semiHidden/>
    <w:rsid w:val="00171962"/>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99"/>
    <w:semiHidden/>
    <w:rsid w:val="00171962"/>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99"/>
    <w:semiHidden/>
    <w:rsid w:val="00171962"/>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99"/>
    <w:semiHidden/>
    <w:rsid w:val="00171962"/>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99"/>
    <w:semiHidden/>
    <w:rsid w:val="00171962"/>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99"/>
    <w:semiHidden/>
    <w:rsid w:val="00171962"/>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99"/>
    <w:semiHidden/>
    <w:rsid w:val="00171962"/>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rsid w:val="00171962"/>
    <w:rPr>
      <w:color w:val="000000" w:themeColor="text1"/>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99"/>
    <w:semiHidden/>
    <w:rsid w:val="00171962"/>
    <w:rPr>
      <w:color w:val="000000" w:themeColor="text1"/>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99"/>
    <w:semiHidden/>
    <w:rsid w:val="00171962"/>
    <w:rPr>
      <w:color w:val="000000" w:themeColor="text1"/>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99"/>
    <w:semiHidden/>
    <w:rsid w:val="00171962"/>
    <w:rPr>
      <w:color w:val="000000" w:themeColor="text1"/>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99"/>
    <w:semiHidden/>
    <w:rsid w:val="00171962"/>
    <w:rPr>
      <w:color w:val="000000" w:themeColor="text1"/>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99"/>
    <w:semiHidden/>
    <w:rsid w:val="00171962"/>
    <w:rPr>
      <w:color w:val="000000" w:themeColor="text1"/>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99"/>
    <w:semiHidden/>
    <w:rsid w:val="00171962"/>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99"/>
    <w:semiHidden/>
    <w:rsid w:val="00171962"/>
    <w:rPr>
      <w:rFonts w:asciiTheme="majorHAnsi" w:eastAsiaTheme="majorEastAsia" w:hAnsiTheme="majorHAnsi" w:cstheme="majorBidi"/>
      <w:color w:val="000000" w:themeColor="text1"/>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99"/>
    <w:semiHidden/>
    <w:rsid w:val="00171962"/>
    <w:rPr>
      <w:rFonts w:asciiTheme="majorHAnsi" w:eastAsiaTheme="majorEastAsia" w:hAnsiTheme="majorHAnsi" w:cstheme="majorBidi"/>
      <w:color w:val="000000" w:themeColor="text1"/>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99"/>
    <w:semiHidden/>
    <w:rsid w:val="00171962"/>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99"/>
    <w:semiHidden/>
    <w:rsid w:val="00171962"/>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99"/>
    <w:semiHidden/>
    <w:rsid w:val="00171962"/>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99"/>
    <w:semiHidden/>
    <w:rsid w:val="00171962"/>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99"/>
    <w:semiHidden/>
    <w:rsid w:val="00171962"/>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rsid w:val="00171962"/>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rsid w:val="00171962"/>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rsid w:val="00171962"/>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rsid w:val="00171962"/>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rsid w:val="00171962"/>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rsid w:val="00171962"/>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rsid w:val="0017196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rsid w:val="0017196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rsid w:val="0017196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17196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17196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17196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rsid w:val="0017196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171962"/>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171962"/>
    <w:rPr>
      <w:rFonts w:asciiTheme="majorHAnsi" w:eastAsiaTheme="majorEastAsia" w:hAnsiTheme="majorHAnsi" w:cstheme="majorBidi"/>
      <w:sz w:val="24"/>
      <w:szCs w:val="24"/>
      <w:shd w:val="pct20" w:color="auto" w:fill="auto"/>
      <w:lang w:val="en-GB"/>
    </w:rPr>
  </w:style>
  <w:style w:type="paragraph" w:styleId="NormalWeb">
    <w:name w:val="Normal (Web)"/>
    <w:basedOn w:val="Normal"/>
    <w:uiPriority w:val="99"/>
    <w:semiHidden/>
    <w:rsid w:val="00171962"/>
    <w:rPr>
      <w:rFonts w:ascii="Times New Roman" w:hAnsi="Times New Roman" w:cs="Times New Roman"/>
      <w:szCs w:val="24"/>
    </w:rPr>
  </w:style>
  <w:style w:type="paragraph" w:styleId="NormalIndent">
    <w:name w:val="Normal Indent"/>
    <w:basedOn w:val="Normal"/>
    <w:uiPriority w:val="99"/>
    <w:semiHidden/>
    <w:rsid w:val="00171962"/>
    <w:pPr>
      <w:ind w:left="720"/>
    </w:pPr>
  </w:style>
  <w:style w:type="paragraph" w:styleId="NoteHeading">
    <w:name w:val="Note Heading"/>
    <w:basedOn w:val="Normal"/>
    <w:next w:val="Normal"/>
    <w:link w:val="NoteHeadingChar"/>
    <w:uiPriority w:val="99"/>
    <w:semiHidden/>
    <w:rsid w:val="00171962"/>
  </w:style>
  <w:style w:type="character" w:customStyle="1" w:styleId="NoteHeadingChar">
    <w:name w:val="Note Heading Char"/>
    <w:basedOn w:val="DefaultParagraphFont"/>
    <w:link w:val="NoteHeading"/>
    <w:rsid w:val="00171962"/>
    <w:rPr>
      <w:sz w:val="24"/>
      <w:lang w:val="en-GB"/>
    </w:rPr>
  </w:style>
  <w:style w:type="character" w:styleId="PlaceholderText">
    <w:name w:val="Placeholder Text"/>
    <w:basedOn w:val="DefaultParagraphFont"/>
    <w:uiPriority w:val="99"/>
    <w:semiHidden/>
    <w:rsid w:val="00171962"/>
    <w:rPr>
      <w:color w:val="808080"/>
    </w:rPr>
  </w:style>
  <w:style w:type="paragraph" w:styleId="PlainText">
    <w:name w:val="Plain Text"/>
    <w:basedOn w:val="Normal"/>
    <w:link w:val="PlainTextChar"/>
    <w:uiPriority w:val="99"/>
    <w:semiHidden/>
    <w:rsid w:val="00171962"/>
    <w:rPr>
      <w:rFonts w:ascii="Consolas" w:hAnsi="Consolas" w:cs="Consolas"/>
      <w:sz w:val="21"/>
      <w:szCs w:val="21"/>
    </w:rPr>
  </w:style>
  <w:style w:type="character" w:customStyle="1" w:styleId="PlainTextChar">
    <w:name w:val="Plain Text Char"/>
    <w:basedOn w:val="DefaultParagraphFont"/>
    <w:link w:val="PlainText"/>
    <w:uiPriority w:val="99"/>
    <w:rsid w:val="00171962"/>
    <w:rPr>
      <w:rFonts w:ascii="Consolas" w:hAnsi="Consolas" w:cs="Consolas"/>
      <w:sz w:val="21"/>
      <w:szCs w:val="21"/>
      <w:lang w:val="en-GB"/>
    </w:rPr>
  </w:style>
  <w:style w:type="paragraph" w:styleId="Salutation">
    <w:name w:val="Salutation"/>
    <w:basedOn w:val="Normal"/>
    <w:next w:val="Normal"/>
    <w:link w:val="SalutationChar"/>
    <w:uiPriority w:val="99"/>
    <w:semiHidden/>
    <w:rsid w:val="00171962"/>
  </w:style>
  <w:style w:type="character" w:customStyle="1" w:styleId="SalutationChar">
    <w:name w:val="Salutation Char"/>
    <w:basedOn w:val="DefaultParagraphFont"/>
    <w:link w:val="Salutation"/>
    <w:rsid w:val="00171962"/>
    <w:rPr>
      <w:sz w:val="24"/>
      <w:lang w:val="en-GB"/>
    </w:rPr>
  </w:style>
  <w:style w:type="paragraph" w:styleId="Signature">
    <w:name w:val="Signature"/>
    <w:basedOn w:val="Normal"/>
    <w:link w:val="SignatureChar"/>
    <w:uiPriority w:val="99"/>
    <w:semiHidden/>
    <w:rsid w:val="00171962"/>
    <w:pPr>
      <w:ind w:left="4252"/>
    </w:pPr>
  </w:style>
  <w:style w:type="character" w:customStyle="1" w:styleId="SignatureChar">
    <w:name w:val="Signature Char"/>
    <w:basedOn w:val="DefaultParagraphFont"/>
    <w:link w:val="Signature"/>
    <w:rsid w:val="00171962"/>
    <w:rPr>
      <w:sz w:val="24"/>
      <w:lang w:val="en-GB"/>
    </w:rPr>
  </w:style>
  <w:style w:type="table" w:styleId="Table3Deffects1">
    <w:name w:val="Table 3D effects 1"/>
    <w:basedOn w:val="TableNormal"/>
    <w:uiPriority w:val="99"/>
    <w:semiHidden/>
    <w:rsid w:val="00171962"/>
    <w:pPr>
      <w:suppressAutoHyphens/>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171962"/>
    <w:pPr>
      <w:suppressAutoHyphens/>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171962"/>
    <w:pPr>
      <w:suppressAutoHyphens/>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171962"/>
    <w:pPr>
      <w:suppressAutoHyphens/>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171962"/>
    <w:pPr>
      <w:suppressAutoHyphens/>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171962"/>
    <w:pPr>
      <w:suppressAutoHyphens/>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171962"/>
    <w:pPr>
      <w:suppressAutoHyphens/>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171962"/>
    <w:pPr>
      <w:suppressAutoHyphens/>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171962"/>
    <w:pPr>
      <w:suppressAutoHyphens/>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171962"/>
    <w:pPr>
      <w:suppressAutoHyphens/>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171962"/>
    <w:pPr>
      <w:suppressAutoHyphens/>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171962"/>
    <w:pPr>
      <w:suppressAutoHyphens/>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171962"/>
    <w:pPr>
      <w:suppressAutoHyphens/>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171962"/>
    <w:pPr>
      <w:suppressAutoHyphens/>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171962"/>
    <w:pPr>
      <w:suppressAutoHyphens/>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171962"/>
    <w:pPr>
      <w:suppressAutoHyphens/>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171962"/>
    <w:pPr>
      <w:suppressAutoHyphens/>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semiHidden/>
    <w:rsid w:val="009B0194"/>
    <w:rPr>
      <w:rFonts w:eastAsiaTheme="minorEastAsia"/>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uiPriority w:val="99"/>
    <w:semiHidden/>
    <w:rsid w:val="00171962"/>
    <w:pPr>
      <w:suppressAutoHyphens/>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171962"/>
    <w:pPr>
      <w:suppressAutoHyphens/>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171962"/>
    <w:pPr>
      <w:suppressAutoHyphens/>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171962"/>
    <w:pPr>
      <w:suppressAutoHyphens/>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171962"/>
    <w:pPr>
      <w:suppressAutoHyphens/>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171962"/>
    <w:pPr>
      <w:suppressAutoHyphens/>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171962"/>
    <w:pPr>
      <w:suppressAutoHyphens/>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171962"/>
    <w:pPr>
      <w:suppressAutoHyphens/>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171962"/>
    <w:pPr>
      <w:suppressAutoHyphens/>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171962"/>
    <w:pPr>
      <w:suppressAutoHyphens/>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171962"/>
    <w:pPr>
      <w:suppressAutoHyphens/>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171962"/>
    <w:pPr>
      <w:suppressAutoHyphens/>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171962"/>
    <w:pPr>
      <w:suppressAutoHyphens/>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171962"/>
    <w:pPr>
      <w:suppressAutoHyphens/>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171962"/>
    <w:pPr>
      <w:suppressAutoHyphens/>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171962"/>
    <w:pPr>
      <w:suppressAutoHyphens/>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171962"/>
    <w:pPr>
      <w:ind w:left="240" w:hanging="240"/>
    </w:pPr>
  </w:style>
  <w:style w:type="paragraph" w:styleId="TableofFigures">
    <w:name w:val="table of figures"/>
    <w:basedOn w:val="Normal"/>
    <w:next w:val="Normal"/>
    <w:uiPriority w:val="99"/>
    <w:semiHidden/>
    <w:rsid w:val="00171962"/>
  </w:style>
  <w:style w:type="table" w:styleId="TableProfessional">
    <w:name w:val="Table Professional"/>
    <w:basedOn w:val="TableNormal"/>
    <w:uiPriority w:val="99"/>
    <w:semiHidden/>
    <w:rsid w:val="00171962"/>
    <w:pPr>
      <w:suppressAutoHyphens/>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171962"/>
    <w:pPr>
      <w:suppressAutoHyphens/>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171962"/>
    <w:pPr>
      <w:suppressAutoHyphens/>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171962"/>
    <w:pPr>
      <w:suppressAutoHyphens/>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171962"/>
    <w:pPr>
      <w:suppressAutoHyphens/>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171962"/>
    <w:pPr>
      <w:suppressAutoHyphens/>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171962"/>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171962"/>
    <w:pPr>
      <w:suppressAutoHyphens/>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171962"/>
    <w:pPr>
      <w:suppressAutoHyphens/>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171962"/>
    <w:pPr>
      <w:suppressAutoHyphens/>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9B0194"/>
    <w:pPr>
      <w:spacing w:before="120"/>
    </w:pPr>
    <w:rPr>
      <w:rFonts w:asciiTheme="majorHAnsi" w:eastAsiaTheme="majorEastAsia" w:hAnsiTheme="majorHAnsi" w:cstheme="majorBidi"/>
      <w:b/>
      <w:bCs/>
      <w:color w:val="474747" w:themeColor="accent3" w:themeShade="BF"/>
      <w:szCs w:val="24"/>
    </w:rPr>
  </w:style>
  <w:style w:type="paragraph" w:styleId="TOC1">
    <w:name w:val="toc 1"/>
    <w:basedOn w:val="Normal"/>
    <w:next w:val="Normal"/>
    <w:autoRedefine/>
    <w:uiPriority w:val="99"/>
    <w:semiHidden/>
    <w:rsid w:val="009B0194"/>
    <w:pPr>
      <w:spacing w:before="120" w:after="60"/>
      <w:ind w:left="340" w:right="340" w:hanging="340"/>
    </w:pPr>
    <w:rPr>
      <w:color w:val="0D0D0D" w:themeColor="text1" w:themeTint="F2"/>
    </w:rPr>
  </w:style>
  <w:style w:type="paragraph" w:styleId="TOC2">
    <w:name w:val="toc 2"/>
    <w:basedOn w:val="Normal"/>
    <w:next w:val="Normal"/>
    <w:autoRedefine/>
    <w:uiPriority w:val="99"/>
    <w:semiHidden/>
    <w:rsid w:val="009B0194"/>
    <w:pPr>
      <w:spacing w:after="60"/>
      <w:ind w:left="680" w:right="340" w:hanging="340"/>
    </w:pPr>
  </w:style>
  <w:style w:type="paragraph" w:styleId="TOC3">
    <w:name w:val="toc 3"/>
    <w:basedOn w:val="Normal"/>
    <w:next w:val="Normal"/>
    <w:autoRedefine/>
    <w:uiPriority w:val="99"/>
    <w:semiHidden/>
    <w:rsid w:val="009B0194"/>
    <w:pPr>
      <w:spacing w:after="60"/>
      <w:ind w:left="1020" w:right="340" w:hanging="340"/>
    </w:pPr>
  </w:style>
  <w:style w:type="paragraph" w:styleId="TOC4">
    <w:name w:val="toc 4"/>
    <w:basedOn w:val="Normal"/>
    <w:next w:val="Normal"/>
    <w:autoRedefine/>
    <w:uiPriority w:val="99"/>
    <w:semiHidden/>
    <w:rsid w:val="009B0194"/>
    <w:pPr>
      <w:tabs>
        <w:tab w:val="right" w:leader="dot" w:pos="9017"/>
      </w:tabs>
      <w:spacing w:after="60"/>
      <w:ind w:left="1361" w:right="340" w:hanging="340"/>
    </w:pPr>
  </w:style>
  <w:style w:type="paragraph" w:styleId="TOC5">
    <w:name w:val="toc 5"/>
    <w:basedOn w:val="Normal"/>
    <w:next w:val="Normal"/>
    <w:autoRedefine/>
    <w:uiPriority w:val="99"/>
    <w:semiHidden/>
    <w:rsid w:val="009B0194"/>
    <w:pPr>
      <w:spacing w:after="60"/>
      <w:ind w:left="1701" w:right="340" w:hanging="340"/>
    </w:pPr>
  </w:style>
  <w:style w:type="paragraph" w:styleId="TOC6">
    <w:name w:val="toc 6"/>
    <w:basedOn w:val="Normal"/>
    <w:next w:val="Normal"/>
    <w:autoRedefine/>
    <w:uiPriority w:val="99"/>
    <w:semiHidden/>
    <w:rsid w:val="00171962"/>
    <w:pPr>
      <w:spacing w:after="100"/>
      <w:ind w:left="1200"/>
    </w:pPr>
  </w:style>
  <w:style w:type="paragraph" w:styleId="TOC7">
    <w:name w:val="toc 7"/>
    <w:basedOn w:val="Normal"/>
    <w:next w:val="Normal"/>
    <w:autoRedefine/>
    <w:uiPriority w:val="99"/>
    <w:semiHidden/>
    <w:rsid w:val="00171962"/>
    <w:pPr>
      <w:spacing w:after="100"/>
      <w:ind w:left="1440"/>
    </w:pPr>
  </w:style>
  <w:style w:type="paragraph" w:styleId="TOC8">
    <w:name w:val="toc 8"/>
    <w:basedOn w:val="Normal"/>
    <w:next w:val="Normal"/>
    <w:autoRedefine/>
    <w:uiPriority w:val="99"/>
    <w:semiHidden/>
    <w:rsid w:val="00171962"/>
    <w:pPr>
      <w:spacing w:after="100"/>
      <w:ind w:left="1680"/>
    </w:pPr>
  </w:style>
  <w:style w:type="paragraph" w:styleId="TOC9">
    <w:name w:val="toc 9"/>
    <w:basedOn w:val="Normal"/>
    <w:next w:val="Normal"/>
    <w:autoRedefine/>
    <w:uiPriority w:val="99"/>
    <w:semiHidden/>
    <w:rsid w:val="00171962"/>
    <w:pPr>
      <w:spacing w:after="100"/>
      <w:ind w:left="1920"/>
    </w:pPr>
  </w:style>
  <w:style w:type="paragraph" w:customStyle="1" w:styleId="ECHRTitleCentre1">
    <w:name w:val="ECHR_Title_Centre_1"/>
    <w:aliases w:val="Opi_H_Head"/>
    <w:basedOn w:val="Normal"/>
    <w:next w:val="OpiPara"/>
    <w:uiPriority w:val="39"/>
    <w:qFormat/>
    <w:rsid w:val="009B0194"/>
    <w:pPr>
      <w:keepNext/>
      <w:keepLines/>
      <w:spacing w:after="240"/>
      <w:jc w:val="center"/>
      <w:outlineLvl w:val="0"/>
    </w:pPr>
    <w:rPr>
      <w:rFonts w:asciiTheme="majorHAnsi" w:hAnsiTheme="majorHAnsi"/>
      <w:sz w:val="28"/>
      <w:lang w:val="fr-FR" w:eastAsia="fr-FR"/>
    </w:rPr>
  </w:style>
  <w:style w:type="character" w:customStyle="1" w:styleId="JuITMark">
    <w:name w:val="Ju_ITMark"/>
    <w:basedOn w:val="DefaultParagraphFont"/>
    <w:uiPriority w:val="38"/>
    <w:qFormat/>
    <w:rsid w:val="009B0194"/>
    <w:rPr>
      <w:vanish w:val="0"/>
      <w:color w:val="auto"/>
      <w:sz w:val="14"/>
    </w:rPr>
  </w:style>
  <w:style w:type="paragraph" w:customStyle="1" w:styleId="JuInitialled">
    <w:name w:val="Ju_Initialled"/>
    <w:basedOn w:val="Normal"/>
    <w:uiPriority w:val="31"/>
    <w:qFormat/>
    <w:rsid w:val="009B0194"/>
    <w:pPr>
      <w:tabs>
        <w:tab w:val="center" w:pos="6407"/>
      </w:tabs>
      <w:spacing w:before="720"/>
      <w:jc w:val="right"/>
    </w:pPr>
    <w:rPr>
      <w:lang w:val="fr-FR" w:eastAsia="fr-FR"/>
    </w:rPr>
  </w:style>
  <w:style w:type="paragraph" w:customStyle="1" w:styleId="OpiTranslation">
    <w:name w:val="Opi_Translation"/>
    <w:basedOn w:val="Normal"/>
    <w:next w:val="OpiPara"/>
    <w:uiPriority w:val="40"/>
    <w:qFormat/>
    <w:rsid w:val="009B0194"/>
    <w:pPr>
      <w:jc w:val="center"/>
      <w:outlineLvl w:val="0"/>
    </w:pPr>
    <w:rPr>
      <w:i/>
      <w:lang w:val="fr-FR" w:eastAsia="fr-FR"/>
    </w:rPr>
  </w:style>
  <w:style w:type="paragraph" w:customStyle="1" w:styleId="DecHTitle">
    <w:name w:val="Dec_H_Title"/>
    <w:basedOn w:val="ECHRTitleCentre1"/>
    <w:uiPriority w:val="7"/>
    <w:rsid w:val="009B0194"/>
  </w:style>
  <w:style w:type="paragraph" w:customStyle="1" w:styleId="JuCourt">
    <w:name w:val="Ju_Court"/>
    <w:basedOn w:val="Normal"/>
    <w:next w:val="Normal"/>
    <w:uiPriority w:val="16"/>
    <w:qFormat/>
    <w:rsid w:val="009B0194"/>
    <w:pPr>
      <w:tabs>
        <w:tab w:val="left" w:pos="907"/>
        <w:tab w:val="left" w:pos="1701"/>
        <w:tab w:val="right" w:pos="7371"/>
      </w:tabs>
      <w:spacing w:before="240"/>
      <w:ind w:left="397" w:hanging="397"/>
      <w:jc w:val="left"/>
    </w:pPr>
    <w:rPr>
      <w:lang w:val="fr-FR" w:eastAsia="fr-FR" w:bidi="en-US"/>
    </w:rPr>
  </w:style>
  <w:style w:type="paragraph" w:customStyle="1" w:styleId="DecList">
    <w:name w:val="Dec_List"/>
    <w:basedOn w:val="Normal"/>
    <w:uiPriority w:val="9"/>
    <w:rsid w:val="009B0194"/>
    <w:pPr>
      <w:spacing w:before="240"/>
      <w:ind w:left="284"/>
    </w:pPr>
  </w:style>
  <w:style w:type="paragraph" w:customStyle="1" w:styleId="ECHRHeading3">
    <w:name w:val="ECHR_Heading_3"/>
    <w:aliases w:val="Ju_H_1."/>
    <w:basedOn w:val="Heading3"/>
    <w:next w:val="ECHRPara"/>
    <w:uiPriority w:val="21"/>
    <w:qFormat/>
    <w:rsid w:val="009B0194"/>
    <w:pPr>
      <w:keepNext/>
      <w:keepLines/>
      <w:tabs>
        <w:tab w:val="left" w:pos="731"/>
      </w:tabs>
      <w:spacing w:before="240" w:after="120" w:line="240" w:lineRule="auto"/>
      <w:ind w:left="732" w:hanging="301"/>
    </w:pPr>
    <w:rPr>
      <w:b w:val="0"/>
      <w:i/>
      <w:color w:val="auto"/>
      <w:lang w:val="fr-FR" w:eastAsia="fr-FR"/>
    </w:rPr>
  </w:style>
  <w:style w:type="paragraph" w:customStyle="1" w:styleId="ECHRHeading4">
    <w:name w:val="ECHR_Heading_4"/>
    <w:aliases w:val="Ju_H_a"/>
    <w:basedOn w:val="Heading4"/>
    <w:next w:val="ECHRPara"/>
    <w:uiPriority w:val="22"/>
    <w:qFormat/>
    <w:rsid w:val="009B0194"/>
    <w:pPr>
      <w:keepNext/>
      <w:keepLines/>
      <w:tabs>
        <w:tab w:val="left" w:pos="975"/>
      </w:tabs>
      <w:spacing w:before="240" w:after="120"/>
      <w:ind w:left="975" w:hanging="340"/>
    </w:pPr>
    <w:rPr>
      <w:i w:val="0"/>
      <w:color w:val="auto"/>
      <w:sz w:val="20"/>
      <w:lang w:val="fr-FR" w:eastAsia="fr-FR"/>
    </w:rPr>
  </w:style>
  <w:style w:type="paragraph" w:customStyle="1" w:styleId="ECHRHeading5">
    <w:name w:val="ECHR_Heading_5"/>
    <w:aliases w:val="Ju_H_i"/>
    <w:basedOn w:val="Heading5"/>
    <w:next w:val="ECHRPara"/>
    <w:uiPriority w:val="23"/>
    <w:qFormat/>
    <w:rsid w:val="009B0194"/>
    <w:pPr>
      <w:keepNext/>
      <w:keepLines/>
      <w:tabs>
        <w:tab w:val="left" w:pos="1191"/>
      </w:tabs>
      <w:spacing w:before="240" w:after="120"/>
      <w:ind w:left="1190" w:hanging="357"/>
    </w:pPr>
    <w:rPr>
      <w:b w:val="0"/>
      <w:i/>
      <w:color w:val="auto"/>
      <w:sz w:val="20"/>
    </w:rPr>
  </w:style>
  <w:style w:type="paragraph" w:customStyle="1" w:styleId="ECHRHeading6">
    <w:name w:val="ECHR_Heading_6"/>
    <w:aliases w:val="Ju_H_alpha"/>
    <w:basedOn w:val="Heading6"/>
    <w:next w:val="ECHRPara"/>
    <w:uiPriority w:val="24"/>
    <w:qFormat/>
    <w:rsid w:val="009B0194"/>
    <w:pPr>
      <w:keepNext/>
      <w:keepLines/>
      <w:tabs>
        <w:tab w:val="left" w:pos="1372"/>
      </w:tabs>
      <w:spacing w:before="240" w:after="120" w:line="240" w:lineRule="auto"/>
      <w:ind w:left="1373" w:hanging="335"/>
    </w:pPr>
    <w:rPr>
      <w:b w:val="0"/>
      <w:color w:val="auto"/>
      <w:sz w:val="20"/>
      <w:lang w:val="fr-FR" w:eastAsia="fr-FR"/>
    </w:rPr>
  </w:style>
  <w:style w:type="paragraph" w:customStyle="1" w:styleId="ECHRHeading7">
    <w:name w:val="ECHR_Heading_7"/>
    <w:aliases w:val="Ju_H_–"/>
    <w:basedOn w:val="Heading7"/>
    <w:next w:val="ECHRPara"/>
    <w:uiPriority w:val="25"/>
    <w:qFormat/>
    <w:rsid w:val="009B0194"/>
    <w:pPr>
      <w:keepNext/>
      <w:keepLines/>
      <w:spacing w:before="240" w:after="120"/>
      <w:ind w:left="1236"/>
    </w:pPr>
    <w:rPr>
      <w:sz w:val="20"/>
    </w:rPr>
  </w:style>
  <w:style w:type="paragraph" w:customStyle="1" w:styleId="OpiH1">
    <w:name w:val="Opi_H_1"/>
    <w:basedOn w:val="ECHRHeading2"/>
    <w:uiPriority w:val="42"/>
    <w:qFormat/>
    <w:rsid w:val="009B0194"/>
    <w:pPr>
      <w:ind w:left="635" w:hanging="357"/>
      <w:outlineLvl w:val="2"/>
    </w:pPr>
  </w:style>
  <w:style w:type="paragraph" w:customStyle="1" w:styleId="OpiHa0">
    <w:name w:val="Opi_H_a"/>
    <w:basedOn w:val="ECHRHeading3"/>
    <w:uiPriority w:val="43"/>
    <w:qFormat/>
    <w:rsid w:val="009B0194"/>
    <w:pPr>
      <w:ind w:left="833" w:hanging="357"/>
      <w:outlineLvl w:val="3"/>
    </w:pPr>
    <w:rPr>
      <w:b/>
      <w:i w:val="0"/>
      <w:sz w:val="20"/>
    </w:rPr>
  </w:style>
  <w:style w:type="paragraph" w:customStyle="1" w:styleId="OpiHi">
    <w:name w:val="Opi_H_i"/>
    <w:basedOn w:val="ECHRHeading4"/>
    <w:uiPriority w:val="44"/>
    <w:qFormat/>
    <w:rsid w:val="009B0194"/>
    <w:pPr>
      <w:ind w:left="1037" w:hanging="357"/>
      <w:outlineLvl w:val="4"/>
    </w:pPr>
    <w:rPr>
      <w:b w:val="0"/>
      <w:i/>
    </w:rPr>
  </w:style>
  <w:style w:type="paragraph" w:customStyle="1" w:styleId="DummyStyle">
    <w:name w:val="Dummy_Style"/>
    <w:basedOn w:val="Normal"/>
    <w:semiHidden/>
    <w:qFormat/>
    <w:rsid w:val="009B0194"/>
    <w:rPr>
      <w:color w:val="00B050"/>
      <w:lang w:val="fr-FR" w:eastAsia="fr-FR"/>
    </w:rPr>
  </w:style>
  <w:style w:type="table" w:customStyle="1" w:styleId="ECHRListTable">
    <w:name w:val="ECHR_List_Table"/>
    <w:basedOn w:val="TableNormal"/>
    <w:uiPriority w:val="99"/>
    <w:rsid w:val="009B0194"/>
    <w:rPr>
      <w:lang w:val="en-US" w:eastAsia="en-US"/>
    </w:rPr>
    <w:tblPr>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Revision">
    <w:name w:val="Revision"/>
    <w:hidden/>
    <w:uiPriority w:val="99"/>
    <w:semiHidden/>
    <w:rsid w:val="001A5E09"/>
    <w:rPr>
      <w:rFonts w:eastAsiaTheme="minorEastAsia"/>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747705">
      <w:bodyDiv w:val="1"/>
      <w:marLeft w:val="0"/>
      <w:marRight w:val="0"/>
      <w:marTop w:val="0"/>
      <w:marBottom w:val="0"/>
      <w:divBdr>
        <w:top w:val="none" w:sz="0" w:space="0" w:color="auto"/>
        <w:left w:val="none" w:sz="0" w:space="0" w:color="auto"/>
        <w:bottom w:val="none" w:sz="0" w:space="0" w:color="auto"/>
        <w:right w:val="none" w:sz="0" w:space="0" w:color="auto"/>
      </w:divBdr>
      <w:divsChild>
        <w:div w:id="655646644">
          <w:marLeft w:val="0"/>
          <w:marRight w:val="0"/>
          <w:marTop w:val="0"/>
          <w:marBottom w:val="0"/>
          <w:divBdr>
            <w:top w:val="none" w:sz="0" w:space="0" w:color="auto"/>
            <w:left w:val="none" w:sz="0" w:space="0" w:color="auto"/>
            <w:bottom w:val="none" w:sz="0" w:space="0" w:color="auto"/>
            <w:right w:val="none" w:sz="0" w:space="0" w:color="auto"/>
          </w:divBdr>
          <w:divsChild>
            <w:div w:id="1505973618">
              <w:marLeft w:val="0"/>
              <w:marRight w:val="0"/>
              <w:marTop w:val="0"/>
              <w:marBottom w:val="0"/>
              <w:divBdr>
                <w:top w:val="none" w:sz="0" w:space="0" w:color="auto"/>
                <w:left w:val="none" w:sz="0" w:space="0" w:color="auto"/>
                <w:bottom w:val="none" w:sz="0" w:space="0" w:color="auto"/>
                <w:right w:val="none" w:sz="0" w:space="0" w:color="auto"/>
              </w:divBdr>
              <w:divsChild>
                <w:div w:id="1573811554">
                  <w:marLeft w:val="0"/>
                  <w:marRight w:val="0"/>
                  <w:marTop w:val="0"/>
                  <w:marBottom w:val="0"/>
                  <w:divBdr>
                    <w:top w:val="none" w:sz="0" w:space="0" w:color="auto"/>
                    <w:left w:val="none" w:sz="0" w:space="0" w:color="auto"/>
                    <w:bottom w:val="none" w:sz="0" w:space="0" w:color="auto"/>
                    <w:right w:val="none" w:sz="0" w:space="0" w:color="auto"/>
                  </w:divBdr>
                  <w:divsChild>
                    <w:div w:id="845366316">
                      <w:marLeft w:val="0"/>
                      <w:marRight w:val="0"/>
                      <w:marTop w:val="0"/>
                      <w:marBottom w:val="0"/>
                      <w:divBdr>
                        <w:top w:val="none" w:sz="0" w:space="0" w:color="auto"/>
                        <w:left w:val="none" w:sz="0" w:space="0" w:color="auto"/>
                        <w:bottom w:val="none" w:sz="0" w:space="0" w:color="auto"/>
                        <w:right w:val="none" w:sz="0" w:space="0" w:color="auto"/>
                      </w:divBdr>
                      <w:divsChild>
                        <w:div w:id="1785029046">
                          <w:marLeft w:val="0"/>
                          <w:marRight w:val="0"/>
                          <w:marTop w:val="0"/>
                          <w:marBottom w:val="0"/>
                          <w:divBdr>
                            <w:top w:val="none" w:sz="0" w:space="0" w:color="auto"/>
                            <w:left w:val="none" w:sz="0" w:space="0" w:color="auto"/>
                            <w:bottom w:val="none" w:sz="0" w:space="0" w:color="auto"/>
                            <w:right w:val="none" w:sz="0" w:space="0" w:color="auto"/>
                          </w:divBdr>
                          <w:divsChild>
                            <w:div w:id="189249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784934">
      <w:bodyDiv w:val="1"/>
      <w:marLeft w:val="0"/>
      <w:marRight w:val="0"/>
      <w:marTop w:val="0"/>
      <w:marBottom w:val="0"/>
      <w:divBdr>
        <w:top w:val="none" w:sz="0" w:space="0" w:color="auto"/>
        <w:left w:val="none" w:sz="0" w:space="0" w:color="auto"/>
        <w:bottom w:val="none" w:sz="0" w:space="0" w:color="auto"/>
        <w:right w:val="none" w:sz="0" w:space="0" w:color="auto"/>
      </w:divBdr>
      <w:divsChild>
        <w:div w:id="880437893">
          <w:marLeft w:val="0"/>
          <w:marRight w:val="0"/>
          <w:marTop w:val="0"/>
          <w:marBottom w:val="0"/>
          <w:divBdr>
            <w:top w:val="none" w:sz="0" w:space="0" w:color="auto"/>
            <w:left w:val="none" w:sz="0" w:space="0" w:color="auto"/>
            <w:bottom w:val="none" w:sz="0" w:space="0" w:color="auto"/>
            <w:right w:val="none" w:sz="0" w:space="0" w:color="auto"/>
          </w:divBdr>
          <w:divsChild>
            <w:div w:id="997149045">
              <w:marLeft w:val="0"/>
              <w:marRight w:val="0"/>
              <w:marTop w:val="0"/>
              <w:marBottom w:val="0"/>
              <w:divBdr>
                <w:top w:val="none" w:sz="0" w:space="0" w:color="auto"/>
                <w:left w:val="none" w:sz="0" w:space="0" w:color="auto"/>
                <w:bottom w:val="none" w:sz="0" w:space="0" w:color="auto"/>
                <w:right w:val="none" w:sz="0" w:space="0" w:color="auto"/>
              </w:divBdr>
              <w:divsChild>
                <w:div w:id="951011818">
                  <w:marLeft w:val="0"/>
                  <w:marRight w:val="0"/>
                  <w:marTop w:val="0"/>
                  <w:marBottom w:val="0"/>
                  <w:divBdr>
                    <w:top w:val="none" w:sz="0" w:space="0" w:color="auto"/>
                    <w:left w:val="none" w:sz="0" w:space="0" w:color="auto"/>
                    <w:bottom w:val="none" w:sz="0" w:space="0" w:color="auto"/>
                    <w:right w:val="none" w:sz="0" w:space="0" w:color="auto"/>
                  </w:divBdr>
                  <w:divsChild>
                    <w:div w:id="1962958429">
                      <w:marLeft w:val="0"/>
                      <w:marRight w:val="0"/>
                      <w:marTop w:val="0"/>
                      <w:marBottom w:val="0"/>
                      <w:divBdr>
                        <w:top w:val="none" w:sz="0" w:space="0" w:color="auto"/>
                        <w:left w:val="none" w:sz="0" w:space="0" w:color="auto"/>
                        <w:bottom w:val="none" w:sz="0" w:space="0" w:color="auto"/>
                        <w:right w:val="none" w:sz="0" w:space="0" w:color="auto"/>
                      </w:divBdr>
                      <w:divsChild>
                        <w:div w:id="142089865">
                          <w:marLeft w:val="0"/>
                          <w:marRight w:val="0"/>
                          <w:marTop w:val="0"/>
                          <w:marBottom w:val="0"/>
                          <w:divBdr>
                            <w:top w:val="none" w:sz="0" w:space="0" w:color="auto"/>
                            <w:left w:val="none" w:sz="0" w:space="0" w:color="auto"/>
                            <w:bottom w:val="none" w:sz="0" w:space="0" w:color="auto"/>
                            <w:right w:val="none" w:sz="0" w:space="0" w:color="auto"/>
                          </w:divBdr>
                          <w:divsChild>
                            <w:div w:id="156444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7851601">
      <w:bodyDiv w:val="1"/>
      <w:marLeft w:val="0"/>
      <w:marRight w:val="0"/>
      <w:marTop w:val="0"/>
      <w:marBottom w:val="0"/>
      <w:divBdr>
        <w:top w:val="none" w:sz="0" w:space="0" w:color="auto"/>
        <w:left w:val="none" w:sz="0" w:space="0" w:color="auto"/>
        <w:bottom w:val="none" w:sz="0" w:space="0" w:color="auto"/>
        <w:right w:val="none" w:sz="0" w:space="0" w:color="auto"/>
      </w:divBdr>
    </w:div>
    <w:div w:id="1237323814">
      <w:bodyDiv w:val="1"/>
      <w:marLeft w:val="0"/>
      <w:marRight w:val="0"/>
      <w:marTop w:val="0"/>
      <w:marBottom w:val="0"/>
      <w:divBdr>
        <w:top w:val="none" w:sz="0" w:space="0" w:color="auto"/>
        <w:left w:val="none" w:sz="0" w:space="0" w:color="auto"/>
        <w:bottom w:val="none" w:sz="0" w:space="0" w:color="auto"/>
        <w:right w:val="none" w:sz="0" w:space="0" w:color="auto"/>
      </w:divBdr>
    </w:div>
    <w:div w:id="1360662820">
      <w:bodyDiv w:val="1"/>
      <w:marLeft w:val="0"/>
      <w:marRight w:val="0"/>
      <w:marTop w:val="0"/>
      <w:marBottom w:val="0"/>
      <w:divBdr>
        <w:top w:val="none" w:sz="0" w:space="0" w:color="auto"/>
        <w:left w:val="none" w:sz="0" w:space="0" w:color="auto"/>
        <w:bottom w:val="none" w:sz="0" w:space="0" w:color="auto"/>
        <w:right w:val="none" w:sz="0" w:space="0" w:color="auto"/>
      </w:divBdr>
      <w:divsChild>
        <w:div w:id="1837186134">
          <w:marLeft w:val="0"/>
          <w:marRight w:val="0"/>
          <w:marTop w:val="0"/>
          <w:marBottom w:val="0"/>
          <w:divBdr>
            <w:top w:val="none" w:sz="0" w:space="0" w:color="auto"/>
            <w:left w:val="none" w:sz="0" w:space="0" w:color="auto"/>
            <w:bottom w:val="none" w:sz="0" w:space="0" w:color="auto"/>
            <w:right w:val="none" w:sz="0" w:space="0" w:color="auto"/>
          </w:divBdr>
          <w:divsChild>
            <w:div w:id="1281494994">
              <w:marLeft w:val="0"/>
              <w:marRight w:val="0"/>
              <w:marTop w:val="0"/>
              <w:marBottom w:val="0"/>
              <w:divBdr>
                <w:top w:val="none" w:sz="0" w:space="0" w:color="auto"/>
                <w:left w:val="none" w:sz="0" w:space="0" w:color="auto"/>
                <w:bottom w:val="none" w:sz="0" w:space="0" w:color="auto"/>
                <w:right w:val="none" w:sz="0" w:space="0" w:color="auto"/>
              </w:divBdr>
              <w:divsChild>
                <w:div w:id="1566598480">
                  <w:marLeft w:val="0"/>
                  <w:marRight w:val="0"/>
                  <w:marTop w:val="0"/>
                  <w:marBottom w:val="0"/>
                  <w:divBdr>
                    <w:top w:val="none" w:sz="0" w:space="0" w:color="auto"/>
                    <w:left w:val="none" w:sz="0" w:space="0" w:color="auto"/>
                    <w:bottom w:val="none" w:sz="0" w:space="0" w:color="auto"/>
                    <w:right w:val="none" w:sz="0" w:space="0" w:color="auto"/>
                  </w:divBdr>
                  <w:divsChild>
                    <w:div w:id="1227105025">
                      <w:marLeft w:val="0"/>
                      <w:marRight w:val="0"/>
                      <w:marTop w:val="0"/>
                      <w:marBottom w:val="0"/>
                      <w:divBdr>
                        <w:top w:val="none" w:sz="0" w:space="0" w:color="auto"/>
                        <w:left w:val="none" w:sz="0" w:space="0" w:color="auto"/>
                        <w:bottom w:val="none" w:sz="0" w:space="0" w:color="auto"/>
                        <w:right w:val="none" w:sz="0" w:space="0" w:color="auto"/>
                      </w:divBdr>
                      <w:divsChild>
                        <w:div w:id="997419524">
                          <w:marLeft w:val="0"/>
                          <w:marRight w:val="0"/>
                          <w:marTop w:val="0"/>
                          <w:marBottom w:val="0"/>
                          <w:divBdr>
                            <w:top w:val="none" w:sz="0" w:space="0" w:color="auto"/>
                            <w:left w:val="none" w:sz="0" w:space="0" w:color="auto"/>
                            <w:bottom w:val="none" w:sz="0" w:space="0" w:color="auto"/>
                            <w:right w:val="none" w:sz="0" w:space="0" w:color="auto"/>
                          </w:divBdr>
                          <w:divsChild>
                            <w:div w:id="202940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2331863">
      <w:bodyDiv w:val="1"/>
      <w:marLeft w:val="0"/>
      <w:marRight w:val="0"/>
      <w:marTop w:val="0"/>
      <w:marBottom w:val="0"/>
      <w:divBdr>
        <w:top w:val="none" w:sz="0" w:space="0" w:color="auto"/>
        <w:left w:val="none" w:sz="0" w:space="0" w:color="auto"/>
        <w:bottom w:val="none" w:sz="0" w:space="0" w:color="auto"/>
        <w:right w:val="none" w:sz="0" w:space="0" w:color="auto"/>
      </w:divBdr>
      <w:divsChild>
        <w:div w:id="2119717987">
          <w:marLeft w:val="0"/>
          <w:marRight w:val="0"/>
          <w:marTop w:val="0"/>
          <w:marBottom w:val="0"/>
          <w:divBdr>
            <w:top w:val="none" w:sz="0" w:space="0" w:color="auto"/>
            <w:left w:val="none" w:sz="0" w:space="0" w:color="auto"/>
            <w:bottom w:val="none" w:sz="0" w:space="0" w:color="auto"/>
            <w:right w:val="none" w:sz="0" w:space="0" w:color="auto"/>
          </w:divBdr>
          <w:divsChild>
            <w:div w:id="1761413688">
              <w:marLeft w:val="0"/>
              <w:marRight w:val="0"/>
              <w:marTop w:val="0"/>
              <w:marBottom w:val="0"/>
              <w:divBdr>
                <w:top w:val="none" w:sz="0" w:space="0" w:color="auto"/>
                <w:left w:val="none" w:sz="0" w:space="0" w:color="auto"/>
                <w:bottom w:val="none" w:sz="0" w:space="0" w:color="auto"/>
                <w:right w:val="none" w:sz="0" w:space="0" w:color="auto"/>
              </w:divBdr>
              <w:divsChild>
                <w:div w:id="2005813916">
                  <w:marLeft w:val="0"/>
                  <w:marRight w:val="0"/>
                  <w:marTop w:val="0"/>
                  <w:marBottom w:val="0"/>
                  <w:divBdr>
                    <w:top w:val="none" w:sz="0" w:space="0" w:color="auto"/>
                    <w:left w:val="none" w:sz="0" w:space="0" w:color="auto"/>
                    <w:bottom w:val="none" w:sz="0" w:space="0" w:color="auto"/>
                    <w:right w:val="none" w:sz="0" w:space="0" w:color="auto"/>
                  </w:divBdr>
                  <w:divsChild>
                    <w:div w:id="87123508">
                      <w:marLeft w:val="0"/>
                      <w:marRight w:val="0"/>
                      <w:marTop w:val="0"/>
                      <w:marBottom w:val="0"/>
                      <w:divBdr>
                        <w:top w:val="none" w:sz="0" w:space="0" w:color="auto"/>
                        <w:left w:val="none" w:sz="0" w:space="0" w:color="auto"/>
                        <w:bottom w:val="none" w:sz="0" w:space="0" w:color="auto"/>
                        <w:right w:val="none" w:sz="0" w:space="0" w:color="auto"/>
                      </w:divBdr>
                      <w:divsChild>
                        <w:div w:id="1789934293">
                          <w:marLeft w:val="0"/>
                          <w:marRight w:val="0"/>
                          <w:marTop w:val="0"/>
                          <w:marBottom w:val="0"/>
                          <w:divBdr>
                            <w:top w:val="none" w:sz="0" w:space="0" w:color="auto"/>
                            <w:left w:val="none" w:sz="0" w:space="0" w:color="auto"/>
                            <w:bottom w:val="none" w:sz="0" w:space="0" w:color="auto"/>
                            <w:right w:val="none" w:sz="0" w:space="0" w:color="auto"/>
                          </w:divBdr>
                          <w:divsChild>
                            <w:div w:id="184551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header" Target="header2.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296635-1204-4841-8730-E70F0A7CB928}"/>
</file>

<file path=customXml/itemProps2.xml><?xml version="1.0" encoding="utf-8"?>
<ds:datastoreItem xmlns:ds="http://schemas.openxmlformats.org/officeDocument/2006/customXml" ds:itemID="{7DD03800-B37F-4F2A-B9E3-75877F80AACD}"/>
</file>

<file path=customXml/itemProps3.xml><?xml version="1.0" encoding="utf-8"?>
<ds:datastoreItem xmlns:ds="http://schemas.openxmlformats.org/officeDocument/2006/customXml" ds:itemID="{F62977F6-14BD-4C8F-8006-FC6EC98008AC}"/>
</file>

<file path=customXml/itemProps4.xml><?xml version="1.0" encoding="utf-8"?>
<ds:datastoreItem xmlns:ds="http://schemas.openxmlformats.org/officeDocument/2006/customXml" ds:itemID="{0FE6856D-B6E6-46F7-9EF5-EC1F6A6E018E}"/>
</file>

<file path=docProps/app.xml><?xml version="1.0" encoding="utf-8"?>
<Properties xmlns="http://schemas.openxmlformats.org/officeDocument/2006/extended-properties" xmlns:vt="http://schemas.openxmlformats.org/officeDocument/2006/docPropsVTypes">
  <Template>Normal.dotm</Template>
  <TotalTime>0</TotalTime>
  <Pages>1</Pages>
  <Words>13226</Words>
  <Characters>75393</Characters>
  <Application>Microsoft Office Word</Application>
  <DocSecurity>0</DocSecurity>
  <Lines>628</Lines>
  <Paragraphs>176</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88443</CharactersWithSpaces>
  <SharedDoc>false</SharedDoc>
  <HLinks>
    <vt:vector size="6" baseType="variant">
      <vt:variant>
        <vt:i4>4587612</vt:i4>
      </vt:variant>
      <vt:variant>
        <vt:i4>0</vt:i4>
      </vt:variant>
      <vt:variant>
        <vt:i4>0</vt:i4>
      </vt:variant>
      <vt:variant>
        <vt:i4>5</vt:i4>
      </vt:variant>
      <vt:variant>
        <vt:lpwstr>http://insite.dhcour.coe.int/link/tikitlink.asp?doc=2309498&amp;lib=court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DJ</dc:subject>
  <dc:creator/>
  <cp:keywords/>
  <dc:description/>
  <cp:lastModifiedBy/>
  <cp:revision>1</cp:revision>
  <cp:lastPrinted>2008-01-17T09:46:00Z</cp:lastPrinted>
  <dcterms:created xsi:type="dcterms:W3CDTF">2014-06-24T13:34:00Z</dcterms:created>
  <dcterms:modified xsi:type="dcterms:W3CDTF">2014-06-24T13:34:00Z</dcterms:modified>
  <cp:category>ECHR Template</cp:category>
</cp:coreProperties>
</file>